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0B5" w:rsidRDefault="00CD20B5">
      <w:pPr>
        <w:pStyle w:val="Standard"/>
        <w:jc w:val="center"/>
        <w:rPr>
          <w:b/>
          <w:sz w:val="28"/>
          <w:szCs w:val="28"/>
        </w:rPr>
      </w:pPr>
    </w:p>
    <w:p w:rsidR="00CC7302" w:rsidRDefault="00FC2AEC">
      <w:pPr>
        <w:pStyle w:val="Standard"/>
        <w:jc w:val="center"/>
      </w:pPr>
      <w:r>
        <w:rPr>
          <w:b/>
          <w:sz w:val="28"/>
          <w:szCs w:val="28"/>
        </w:rPr>
        <w:t>Zápis č. X</w:t>
      </w:r>
    </w:p>
    <w:p w:rsidR="00CC7302" w:rsidRDefault="00CC7302">
      <w:pPr>
        <w:pStyle w:val="Standard"/>
        <w:jc w:val="center"/>
        <w:rPr>
          <w:b/>
          <w:sz w:val="28"/>
          <w:szCs w:val="28"/>
        </w:rPr>
      </w:pPr>
    </w:p>
    <w:p w:rsidR="00CC7302" w:rsidRDefault="00FC2AEC">
      <w:pPr>
        <w:pStyle w:val="Standard"/>
        <w:jc w:val="center"/>
      </w:pPr>
      <w:r>
        <w:t xml:space="preserve">ze shromáždění Společenství vlastníků bytových jednotek Olomouc, část Nové Sady,  </w:t>
      </w:r>
    </w:p>
    <w:p w:rsidR="00CC7302" w:rsidRDefault="00FC2AEC">
      <w:pPr>
        <w:pStyle w:val="Standard"/>
      </w:pPr>
      <w:r>
        <w:t>ulice Družební 9/714, 11/715, 13/716, 15/717, 17/718, 19/719</w:t>
      </w:r>
    </w:p>
    <w:p w:rsidR="00CC7302" w:rsidRDefault="00FC2AEC">
      <w:pPr>
        <w:pStyle w:val="Standard"/>
      </w:pPr>
      <w:r>
        <w:rPr>
          <w:b/>
        </w:rPr>
        <w:t>Datum:</w:t>
      </w:r>
      <w:r>
        <w:tab/>
        <w:t>22. října 2015</w:t>
      </w:r>
    </w:p>
    <w:p w:rsidR="00CC7302" w:rsidRDefault="00FC2AEC">
      <w:pPr>
        <w:pStyle w:val="Standard"/>
        <w:ind w:left="1410" w:hanging="1410"/>
      </w:pPr>
      <w:r>
        <w:rPr>
          <w:b/>
        </w:rPr>
        <w:t>Místo:</w:t>
      </w:r>
      <w:r>
        <w:rPr>
          <w:b/>
        </w:rPr>
        <w:tab/>
      </w:r>
      <w:r>
        <w:tab/>
        <w:t>Technologická hala Střední školy polytechnické Olomouc, Rooseveltova ulice 79, Olomouc</w:t>
      </w:r>
    </w:p>
    <w:p w:rsidR="00CC7302" w:rsidRDefault="00CC7302">
      <w:pPr>
        <w:pStyle w:val="Standard"/>
      </w:pPr>
    </w:p>
    <w:p w:rsidR="00CC7302" w:rsidRDefault="00FC2AEC">
      <w:pPr>
        <w:pStyle w:val="Standard"/>
        <w:ind w:left="1410" w:hanging="1410"/>
      </w:pPr>
      <w:r>
        <w:rPr>
          <w:b/>
        </w:rPr>
        <w:t>Přítomni:</w:t>
      </w:r>
      <w:r>
        <w:tab/>
        <w:t>Vlastníci 84 bytových jednotek tj. 6</w:t>
      </w:r>
      <w:r w:rsidR="009B5045">
        <w:t>2</w:t>
      </w:r>
      <w:r>
        <w:t>,</w:t>
      </w:r>
      <w:r w:rsidR="009B5045">
        <w:t>0605</w:t>
      </w:r>
      <w:r>
        <w:t xml:space="preserve"> % podle váhy hlasů (prezenční listiny a plné moci  jsou uloženy ve složce X. shromáždění 22.10.2015, stejně jako výpočet % váhy hlasů, která je uložena u předsedy výboru). </w:t>
      </w:r>
      <w:r>
        <w:rPr>
          <w:sz w:val="20"/>
          <w:szCs w:val="20"/>
        </w:rPr>
        <w:t xml:space="preserve">K přijetí usnesení a úspěšnému hlasování musí být PRO více jak 50% podle váhy hlasů a více jak 70 vlastníků podle počtu hlasů (z celkového počtu 139 vlastníků=bytů=hlasů=100%váhy hlasů) </w:t>
      </w:r>
      <w:r>
        <w:rPr>
          <w:b/>
          <w:szCs w:val="20"/>
        </w:rPr>
        <w:t>– shromáždění je usnášení se schopné.</w:t>
      </w:r>
    </w:p>
    <w:p w:rsidR="00CC7302" w:rsidRDefault="00CC7302">
      <w:pPr>
        <w:pStyle w:val="Standard"/>
        <w:jc w:val="center"/>
        <w:rPr>
          <w:b/>
        </w:rPr>
      </w:pPr>
    </w:p>
    <w:p w:rsidR="00CC7302" w:rsidRDefault="00CC7302">
      <w:pPr>
        <w:pStyle w:val="Standard"/>
        <w:jc w:val="center"/>
        <w:rPr>
          <w:b/>
        </w:rPr>
      </w:pPr>
    </w:p>
    <w:p w:rsidR="00CC7302" w:rsidRDefault="00FC2AEC">
      <w:pPr>
        <w:pStyle w:val="Standard"/>
        <w:jc w:val="center"/>
      </w:pPr>
      <w:r>
        <w:rPr>
          <w:b/>
        </w:rPr>
        <w:t>1. Zahájení</w:t>
      </w:r>
    </w:p>
    <w:p w:rsidR="00CC7302" w:rsidRDefault="00FC2AEC">
      <w:pPr>
        <w:pStyle w:val="Standard"/>
        <w:ind w:firstLine="708"/>
        <w:jc w:val="center"/>
      </w:pPr>
      <w:r>
        <w:t>Shromáždění zahájil předseda výboru Ivo Studený.</w:t>
      </w:r>
    </w:p>
    <w:p w:rsidR="00CC7302" w:rsidRDefault="00FC2AEC">
      <w:pPr>
        <w:pStyle w:val="Standard"/>
      </w:pPr>
      <w:r>
        <w:t>Po prvotním ověření prezenčních listin bylo konstatováno, že shromáždění je usnášení se schopné (17:05 hodin bylo přítomno podle prvotního kontrolního propočtu cca 59%  podle váhy hlasů a 81 vlastníků bytových jednotek na</w:t>
      </w:r>
      <w:r w:rsidR="009B5045">
        <w:t xml:space="preserve"> </w:t>
      </w:r>
      <w:r>
        <w:t>počet bytů).</w:t>
      </w:r>
    </w:p>
    <w:p w:rsidR="00CC7302" w:rsidRDefault="00CC7302">
      <w:pPr>
        <w:pStyle w:val="Standard"/>
        <w:ind w:firstLine="708"/>
      </w:pPr>
    </w:p>
    <w:p w:rsidR="00CC7302" w:rsidRPr="009B5045" w:rsidRDefault="00FC2AEC" w:rsidP="008B0EC8">
      <w:pPr>
        <w:pStyle w:val="Standard"/>
        <w:ind w:firstLine="708"/>
        <w:jc w:val="center"/>
        <w:rPr>
          <w:b/>
          <w:color w:val="365F91" w:themeColor="accent1" w:themeShade="BF"/>
        </w:rPr>
      </w:pPr>
      <w:r>
        <w:t xml:space="preserve">Předseda výboru seznámil přítomné s činností výboru za uplynulý rok. S prací výboru má každý z vlastníků možnost se seznámit na webové stránce společenství  </w:t>
      </w:r>
      <w:hyperlink r:id="rId8" w:history="1">
        <w:r w:rsidRPr="009B5045">
          <w:rPr>
            <w:b/>
            <w:color w:val="365F91" w:themeColor="accent1" w:themeShade="BF"/>
          </w:rPr>
          <w:t>www.druzebni.webnode.cz</w:t>
        </w:r>
      </w:hyperlink>
      <w:r w:rsidR="009B5045">
        <w:rPr>
          <w:b/>
          <w:color w:val="365F91" w:themeColor="accent1" w:themeShade="BF"/>
        </w:rPr>
        <w:t>.</w:t>
      </w:r>
    </w:p>
    <w:p w:rsidR="00CC7302" w:rsidRDefault="00FC2AEC">
      <w:pPr>
        <w:pStyle w:val="Standard"/>
      </w:pPr>
      <w:r>
        <w:t>V letošním roce se uskutečnily 4 schůze výboru, další 1 bude ještě do konce roku. Kontrolní komise prověřila zpracovanou účetní závěrku a vyřizuje průběžně podněty členů společenství a běžné provozní záležitosti. K práci výboru nebyly ze strany vlastníků bytů - tj. členů společenství vzneseny žádné písemné připomínky.</w:t>
      </w:r>
    </w:p>
    <w:p w:rsidR="00CC7302" w:rsidRDefault="00CC7302">
      <w:pPr>
        <w:pStyle w:val="Standard"/>
        <w:ind w:firstLine="708"/>
      </w:pPr>
    </w:p>
    <w:p w:rsidR="00CC7302" w:rsidRDefault="00FC2AEC">
      <w:pPr>
        <w:pStyle w:val="Standard"/>
      </w:pPr>
      <w:r>
        <w:t>Na schůzi byli pozváni  jednotliví správci, aby přednesli shromáždění přehled o činnosti správce za rok 2014 a 2015. Žádný z pozvaných zástupců správce se nedostavil.  Zástupce správce D9, 13, 17 a 19 zpracoval písemný dokument, který bude uveřejněn na webových stránkách společenství. Písemné informace od správce D 11 a 15 bud</w:t>
      </w:r>
      <w:r w:rsidR="00A342D6">
        <w:t>ou</w:t>
      </w:r>
      <w:r>
        <w:t xml:space="preserve"> doplněn</w:t>
      </w:r>
      <w:r w:rsidR="00A342D6">
        <w:t>y</w:t>
      </w:r>
      <w:r>
        <w:t xml:space="preserve"> a také zveřejněn</w:t>
      </w:r>
      <w:r w:rsidR="00A342D6">
        <w:t>y</w:t>
      </w:r>
      <w:r>
        <w:t xml:space="preserve"> na webu společenství.</w:t>
      </w:r>
    </w:p>
    <w:p w:rsidR="00CC7302" w:rsidRDefault="00CC7302">
      <w:pPr>
        <w:pStyle w:val="Standard"/>
      </w:pPr>
    </w:p>
    <w:p w:rsidR="00CC7302" w:rsidRDefault="00FC2AEC">
      <w:pPr>
        <w:pStyle w:val="Standard"/>
      </w:pPr>
      <w:r>
        <w:t>Dluhy společenství</w:t>
      </w:r>
      <w:r w:rsidR="009B5045">
        <w:t xml:space="preserve"> -</w:t>
      </w:r>
      <w:r>
        <w:t xml:space="preserve"> vzhledem k ochraně osobních údajů nemůže výbor předložit seznam dlužníků společenství, kteří neplní svoje povinnosti vůči fondu oprav. Lze ale konstatovat, že dluhy jsou vymáhány, probíhají na náš návrh exekuce a dluhy jsou uhrazeny. Nejnověji byl vyrovnán dluh na D 17, táhne se platba  dluhů na D 19, který se ale daří vymáhat pomocí splátkového kalendáře dlužníka; projednáváme další postup.</w:t>
      </w:r>
    </w:p>
    <w:p w:rsidR="00CC7302" w:rsidRDefault="00CC7302">
      <w:pPr>
        <w:pStyle w:val="Standard"/>
      </w:pPr>
    </w:p>
    <w:p w:rsidR="00CC7302" w:rsidRDefault="00FC2AEC">
      <w:pPr>
        <w:pStyle w:val="Standard"/>
      </w:pPr>
      <w:r>
        <w:t>Protože je v platnosti nový občanský zákoník, který zrušil stávající právní předpisy, podle kterých se vznik společenství a jejich činnost řídil, je v jednání návrh nových Stanov společenství, které nám zpracovává právní kancelář dr. Audyové. Vzhledem k probíhajícím změnám v legislativě není konečný počet základních právních doplnění k občanského zákoníku dokončen a proto nastalo zpoždění ve zpracování Stanov společenství. Budou problémy se stanovením počtu členů výboru – zástupců jednotlivých vchodů; v úvahu přichází volba náhradníků.</w:t>
      </w:r>
    </w:p>
    <w:p w:rsidR="00CC7302" w:rsidRDefault="00CC7302">
      <w:pPr>
        <w:pStyle w:val="Standard"/>
        <w:ind w:firstLine="708"/>
      </w:pPr>
    </w:p>
    <w:p w:rsidR="00CC7302" w:rsidRDefault="00CC7302">
      <w:pPr>
        <w:pStyle w:val="Standard"/>
        <w:ind w:firstLine="708"/>
      </w:pPr>
    </w:p>
    <w:p w:rsidR="00CC7302" w:rsidRDefault="00FC2AEC">
      <w:pPr>
        <w:pStyle w:val="Standard"/>
        <w:jc w:val="center"/>
      </w:pPr>
      <w:r>
        <w:rPr>
          <w:b/>
        </w:rPr>
        <w:t>2. Zpráva o hospodaření společenství za rok 2014 a účetní závěrka za rok 2014</w:t>
      </w:r>
    </w:p>
    <w:p w:rsidR="00CC7302" w:rsidRDefault="00CC7302">
      <w:pPr>
        <w:pStyle w:val="Standard"/>
        <w:ind w:firstLine="708"/>
      </w:pPr>
    </w:p>
    <w:p w:rsidR="00CC7302" w:rsidRDefault="00FC2AEC">
      <w:pPr>
        <w:pStyle w:val="Standard"/>
      </w:pPr>
      <w:r>
        <w:t xml:space="preserve">Shromáždění bylo předsedou výboru seznámeno s textovým komentářem </w:t>
      </w:r>
      <w:r>
        <w:br/>
        <w:t xml:space="preserve">k účetní závěrce společenství za rok 2014, kterou všichni obdrželi jako podkladový materiál podle Stanov k projednání na shromáždění. Účetní závěrka byla za rok 2014 za oba správce vypracována Správou nemovitostí Olomouc, a.s. Školní 2a, Olomouc. </w:t>
      </w:r>
      <w:r w:rsidR="00A342D6">
        <w:t>B</w:t>
      </w:r>
      <w:r>
        <w:t>ylo nutné provést větší havarijní opravy výtahů v některých vchodech mimo schválený rozpočet fondu oprav.</w:t>
      </w:r>
    </w:p>
    <w:p w:rsidR="00CC7302" w:rsidRDefault="00CC7302">
      <w:pPr>
        <w:pStyle w:val="Standard"/>
        <w:ind w:firstLine="708"/>
      </w:pPr>
    </w:p>
    <w:p w:rsidR="00CC7302" w:rsidRDefault="00FC2AEC">
      <w:pPr>
        <w:pStyle w:val="Standard"/>
      </w:pPr>
      <w:r>
        <w:t>Po ověření správnosti všech údajů byl kompletní materiál dopracován a předložen kontrolnímu výboru ke kontrole a odsouhlasení – v souladu se Stanovami společenství. Kontrolní komise potvrdila  správnost vypracovaného materiálu.</w:t>
      </w:r>
    </w:p>
    <w:p w:rsidR="00CC7302" w:rsidRDefault="00CC7302">
      <w:pPr>
        <w:pStyle w:val="Standard"/>
      </w:pPr>
    </w:p>
    <w:p w:rsidR="00CC7302" w:rsidRDefault="00FC2AEC">
      <w:pPr>
        <w:pStyle w:val="Standard"/>
      </w:pPr>
      <w:r>
        <w:t xml:space="preserve">Hlasování: Bylo hlasováno o schválení účetní závěrky za rok 2014 a zprávy </w:t>
      </w:r>
      <w:r>
        <w:br/>
        <w:t>o hospodaření společenství za rok 2014 (informace v jednom materiálu).</w:t>
      </w:r>
    </w:p>
    <w:p w:rsidR="00CC7302" w:rsidRDefault="00FC2AEC">
      <w:pPr>
        <w:pStyle w:val="Standard"/>
      </w:pPr>
      <w:r>
        <w:rPr>
          <w:b/>
        </w:rPr>
        <w:t>Výsledek: Zpráva a účetní závěrka roku 201</w:t>
      </w:r>
      <w:r w:rsidR="009B5045">
        <w:rPr>
          <w:b/>
        </w:rPr>
        <w:t>4</w:t>
      </w:r>
      <w:r>
        <w:rPr>
          <w:b/>
        </w:rPr>
        <w:t xml:space="preserve"> byla odsouhlasena.</w:t>
      </w:r>
    </w:p>
    <w:tbl>
      <w:tblPr>
        <w:tblW w:w="9209" w:type="dxa"/>
        <w:tblInd w:w="-108" w:type="dxa"/>
        <w:tblLayout w:type="fixed"/>
        <w:tblCellMar>
          <w:left w:w="10" w:type="dxa"/>
          <w:right w:w="10" w:type="dxa"/>
        </w:tblCellMar>
        <w:tblLook w:val="0000" w:firstRow="0" w:lastRow="0" w:firstColumn="0" w:lastColumn="0" w:noHBand="0" w:noVBand="0"/>
      </w:tblPr>
      <w:tblGrid>
        <w:gridCol w:w="2303"/>
        <w:gridCol w:w="2300"/>
        <w:gridCol w:w="2302"/>
        <w:gridCol w:w="2304"/>
      </w:tblGrid>
      <w:tr w:rsidR="00CC7302">
        <w:tc>
          <w:tcPr>
            <w:tcW w:w="2302" w:type="dxa"/>
            <w:tcBorders>
              <w:top w:val="double" w:sz="12"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CC7302">
            <w:pPr>
              <w:pStyle w:val="Standard"/>
            </w:pPr>
          </w:p>
        </w:tc>
        <w:tc>
          <w:tcPr>
            <w:tcW w:w="2300" w:type="dxa"/>
            <w:tcBorders>
              <w:top w:val="double" w:sz="12"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w:t>
            </w:r>
          </w:p>
        </w:tc>
        <w:tc>
          <w:tcPr>
            <w:tcW w:w="2302" w:type="dxa"/>
            <w:tcBorders>
              <w:top w:val="double" w:sz="12"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PROTI</w:t>
            </w:r>
          </w:p>
        </w:tc>
        <w:tc>
          <w:tcPr>
            <w:tcW w:w="2304" w:type="dxa"/>
            <w:tcBorders>
              <w:top w:val="double" w:sz="12"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ZDRŽEL</w:t>
            </w:r>
          </w:p>
        </w:tc>
      </w:tr>
      <w:tr w:rsidR="00CC7302">
        <w:tc>
          <w:tcPr>
            <w:tcW w:w="2302" w:type="dxa"/>
            <w:tcBorders>
              <w:top w:val="double" w:sz="12" w:space="0" w:color="00000A"/>
              <w:left w:val="double" w:sz="12"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váhy hlasů</w:t>
            </w:r>
          </w:p>
        </w:tc>
        <w:tc>
          <w:tcPr>
            <w:tcW w:w="2300" w:type="dxa"/>
            <w:tcBorders>
              <w:top w:val="double" w:sz="12" w:space="0" w:color="00000A"/>
              <w:left w:val="double" w:sz="12"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62,0605</w:t>
            </w:r>
          </w:p>
        </w:tc>
        <w:tc>
          <w:tcPr>
            <w:tcW w:w="2302" w:type="dxa"/>
            <w:tcBorders>
              <w:top w:val="double" w:sz="12"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0</w:t>
            </w:r>
          </w:p>
        </w:tc>
        <w:tc>
          <w:tcPr>
            <w:tcW w:w="2304" w:type="dxa"/>
            <w:tcBorders>
              <w:top w:val="double" w:sz="12" w:space="0" w:color="00000A"/>
              <w:left w:val="single" w:sz="4"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0</w:t>
            </w:r>
          </w:p>
        </w:tc>
      </w:tr>
      <w:tr w:rsidR="00CC7302">
        <w:tc>
          <w:tcPr>
            <w:tcW w:w="2302" w:type="dxa"/>
            <w:tcBorders>
              <w:top w:val="single" w:sz="4"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počtu hlasů</w:t>
            </w:r>
          </w:p>
        </w:tc>
        <w:tc>
          <w:tcPr>
            <w:tcW w:w="2300" w:type="dxa"/>
            <w:tcBorders>
              <w:top w:val="single" w:sz="4"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84</w:t>
            </w:r>
          </w:p>
        </w:tc>
        <w:tc>
          <w:tcPr>
            <w:tcW w:w="2302" w:type="dxa"/>
            <w:tcBorders>
              <w:top w:val="single" w:sz="4"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0</w:t>
            </w:r>
          </w:p>
        </w:tc>
        <w:tc>
          <w:tcPr>
            <w:tcW w:w="2304" w:type="dxa"/>
            <w:tcBorders>
              <w:top w:val="single" w:sz="4"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0</w:t>
            </w:r>
          </w:p>
        </w:tc>
      </w:tr>
    </w:tbl>
    <w:p w:rsidR="00CC7302" w:rsidRDefault="00CC7302">
      <w:pPr>
        <w:pStyle w:val="Standard"/>
        <w:jc w:val="center"/>
        <w:rPr>
          <w:b/>
        </w:rPr>
      </w:pPr>
    </w:p>
    <w:p w:rsidR="00CC7302" w:rsidRDefault="00CC7302">
      <w:pPr>
        <w:pStyle w:val="Standard"/>
        <w:jc w:val="center"/>
        <w:rPr>
          <w:b/>
        </w:rPr>
      </w:pPr>
    </w:p>
    <w:p w:rsidR="00CC7302" w:rsidRDefault="00FC2AEC">
      <w:pPr>
        <w:pStyle w:val="Standard"/>
        <w:jc w:val="center"/>
      </w:pPr>
      <w:r>
        <w:rPr>
          <w:b/>
        </w:rPr>
        <w:t>3.  Fond oprav roku 201</w:t>
      </w:r>
      <w:r w:rsidR="009B5045">
        <w:rPr>
          <w:b/>
        </w:rPr>
        <w:t>6</w:t>
      </w:r>
    </w:p>
    <w:p w:rsidR="00CC7302" w:rsidRDefault="00CC7302">
      <w:pPr>
        <w:pStyle w:val="Standard"/>
        <w:jc w:val="center"/>
        <w:rPr>
          <w:b/>
        </w:rPr>
      </w:pPr>
    </w:p>
    <w:p w:rsidR="00CC7302" w:rsidRDefault="00FC2AEC">
      <w:pPr>
        <w:pStyle w:val="Standard"/>
      </w:pPr>
      <w:r>
        <w:t>Vlastníci byli seznámeni se stavem hospodaření fondu oprav ro</w:t>
      </w:r>
      <w:r w:rsidR="009B5045">
        <w:t>ku</w:t>
      </w:r>
      <w:r>
        <w:t xml:space="preserve"> 2015 (stav za období leden – srpen 2015), předpokládaným zůstatkem k 31.12.2015 a s návrhem rozpočtu fondu oprav na rok 2016 – všechny podkladové materiály jsou  součástí  pozvánky na shromáždění společenství podle Stanov.  Největší část nákladů budou činit splátky úvěru a nutné revize. Větší opravy jsou plánovány na výtahy, které vykazují havarijní stav a v případě jejich havárie bude  nutné provést kompletní opravu okamžitě z důvodu bezpečnosti jejich používání</w:t>
      </w:r>
      <w:r w:rsidR="009B5045">
        <w:t>.</w:t>
      </w:r>
      <w:r>
        <w:t xml:space="preserve"> Další opravy uvedené v plánu vychází z požadavků jednotlivých zástupců vchodů – členů výboru. Nedílnou součástí rozpočtu je i finanční částka na právní pomoc při sestavení nových Stanov podle nového občanského zákoníku a související právní kroky.</w:t>
      </w:r>
    </w:p>
    <w:p w:rsidR="00CC7302" w:rsidRDefault="00CC7302">
      <w:pPr>
        <w:pStyle w:val="Standard"/>
      </w:pPr>
    </w:p>
    <w:p w:rsidR="00CC7302" w:rsidRDefault="00FC2AEC">
      <w:pPr>
        <w:pStyle w:val="Standard"/>
      </w:pPr>
      <w:r>
        <w:t>Odvody vlastníků – členů společenství - platby do fondu oprav jednotlivých vchodů jsou stejné jako v roce 2015 – beze změny.</w:t>
      </w:r>
    </w:p>
    <w:p w:rsidR="00CC7302" w:rsidRDefault="00CC7302">
      <w:pPr>
        <w:pStyle w:val="Standard"/>
      </w:pPr>
    </w:p>
    <w:p w:rsidR="00CC7302" w:rsidRDefault="00FC2AEC">
      <w:pPr>
        <w:pStyle w:val="Standard"/>
      </w:pPr>
      <w:r>
        <w:t>Hlasování: Bylo hlasováno o předloženém návrhu  fondu oprav na rok 2016.</w:t>
      </w:r>
    </w:p>
    <w:p w:rsidR="00CC7302" w:rsidRDefault="00FC2AEC">
      <w:pPr>
        <w:pStyle w:val="Standard"/>
      </w:pPr>
      <w:r>
        <w:rPr>
          <w:b/>
        </w:rPr>
        <w:t>Výsledek:  Návrh rozpočtu fondu oprav na rok 2016 byl  schválen.</w:t>
      </w:r>
    </w:p>
    <w:tbl>
      <w:tblPr>
        <w:tblW w:w="9209" w:type="dxa"/>
        <w:tblInd w:w="-108" w:type="dxa"/>
        <w:tblLayout w:type="fixed"/>
        <w:tblCellMar>
          <w:left w:w="10" w:type="dxa"/>
          <w:right w:w="10" w:type="dxa"/>
        </w:tblCellMar>
        <w:tblLook w:val="0000" w:firstRow="0" w:lastRow="0" w:firstColumn="0" w:lastColumn="0" w:noHBand="0" w:noVBand="0"/>
      </w:tblPr>
      <w:tblGrid>
        <w:gridCol w:w="2303"/>
        <w:gridCol w:w="2300"/>
        <w:gridCol w:w="2302"/>
        <w:gridCol w:w="2304"/>
      </w:tblGrid>
      <w:tr w:rsidR="00CC7302">
        <w:tc>
          <w:tcPr>
            <w:tcW w:w="2302" w:type="dxa"/>
            <w:tcBorders>
              <w:top w:val="double" w:sz="12"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CC7302">
            <w:pPr>
              <w:pStyle w:val="Standard"/>
            </w:pPr>
          </w:p>
        </w:tc>
        <w:tc>
          <w:tcPr>
            <w:tcW w:w="2300" w:type="dxa"/>
            <w:tcBorders>
              <w:top w:val="double" w:sz="12"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w:t>
            </w:r>
          </w:p>
        </w:tc>
        <w:tc>
          <w:tcPr>
            <w:tcW w:w="2302" w:type="dxa"/>
            <w:tcBorders>
              <w:top w:val="double" w:sz="12"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PROTI</w:t>
            </w:r>
          </w:p>
        </w:tc>
        <w:tc>
          <w:tcPr>
            <w:tcW w:w="2304" w:type="dxa"/>
            <w:tcBorders>
              <w:top w:val="double" w:sz="12"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ZDRŽEL</w:t>
            </w:r>
          </w:p>
        </w:tc>
      </w:tr>
      <w:tr w:rsidR="00CC7302">
        <w:tc>
          <w:tcPr>
            <w:tcW w:w="2302" w:type="dxa"/>
            <w:tcBorders>
              <w:top w:val="double" w:sz="12" w:space="0" w:color="00000A"/>
              <w:left w:val="double" w:sz="12"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váhy hlasů</w:t>
            </w:r>
          </w:p>
        </w:tc>
        <w:tc>
          <w:tcPr>
            <w:tcW w:w="2300" w:type="dxa"/>
            <w:tcBorders>
              <w:top w:val="double" w:sz="12" w:space="0" w:color="00000A"/>
              <w:left w:val="double" w:sz="12"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62,0605</w:t>
            </w:r>
          </w:p>
        </w:tc>
        <w:tc>
          <w:tcPr>
            <w:tcW w:w="2302" w:type="dxa"/>
            <w:tcBorders>
              <w:top w:val="double" w:sz="12"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0</w:t>
            </w:r>
          </w:p>
        </w:tc>
        <w:tc>
          <w:tcPr>
            <w:tcW w:w="2304" w:type="dxa"/>
            <w:tcBorders>
              <w:top w:val="double" w:sz="12" w:space="0" w:color="00000A"/>
              <w:left w:val="single" w:sz="4"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0</w:t>
            </w:r>
          </w:p>
        </w:tc>
      </w:tr>
      <w:tr w:rsidR="00CC7302">
        <w:tc>
          <w:tcPr>
            <w:tcW w:w="2302" w:type="dxa"/>
            <w:tcBorders>
              <w:top w:val="single" w:sz="4"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počtu hlasů</w:t>
            </w:r>
          </w:p>
        </w:tc>
        <w:tc>
          <w:tcPr>
            <w:tcW w:w="2300" w:type="dxa"/>
            <w:tcBorders>
              <w:top w:val="single" w:sz="4"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84</w:t>
            </w:r>
          </w:p>
        </w:tc>
        <w:tc>
          <w:tcPr>
            <w:tcW w:w="2302" w:type="dxa"/>
            <w:tcBorders>
              <w:top w:val="single" w:sz="4"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0</w:t>
            </w:r>
          </w:p>
        </w:tc>
        <w:tc>
          <w:tcPr>
            <w:tcW w:w="2304" w:type="dxa"/>
            <w:tcBorders>
              <w:top w:val="single" w:sz="4"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0</w:t>
            </w:r>
          </w:p>
        </w:tc>
      </w:tr>
    </w:tbl>
    <w:p w:rsidR="00CC7302" w:rsidRDefault="00CC7302">
      <w:pPr>
        <w:pStyle w:val="Standard"/>
      </w:pPr>
    </w:p>
    <w:p w:rsidR="00CC7302" w:rsidRDefault="00CC7302">
      <w:pPr>
        <w:pStyle w:val="Standard"/>
        <w:ind w:firstLine="708"/>
      </w:pPr>
    </w:p>
    <w:p w:rsidR="00CD20B5" w:rsidRDefault="00CD20B5">
      <w:pPr>
        <w:pStyle w:val="Standard"/>
        <w:ind w:firstLine="708"/>
      </w:pPr>
    </w:p>
    <w:p w:rsidR="00CC7302" w:rsidRDefault="00CC7302">
      <w:pPr>
        <w:pStyle w:val="Standard"/>
        <w:ind w:firstLine="708"/>
      </w:pPr>
    </w:p>
    <w:p w:rsidR="00CC7302" w:rsidRDefault="00FC2AEC">
      <w:pPr>
        <w:pStyle w:val="Standard"/>
        <w:jc w:val="center"/>
      </w:pPr>
      <w:r>
        <w:t xml:space="preserve"> </w:t>
      </w:r>
      <w:r>
        <w:rPr>
          <w:b/>
        </w:rPr>
        <w:t>4. Volby členů výboru</w:t>
      </w:r>
    </w:p>
    <w:p w:rsidR="00CC7302" w:rsidRDefault="00CC7302">
      <w:pPr>
        <w:pStyle w:val="Standard"/>
        <w:ind w:firstLine="708"/>
      </w:pPr>
    </w:p>
    <w:p w:rsidR="00CC7302" w:rsidRDefault="00FC2AEC">
      <w:pPr>
        <w:pStyle w:val="Standard"/>
      </w:pPr>
      <w:r>
        <w:t>Letos podle stanov končí 3leté funkční období šesti členům výboru.</w:t>
      </w:r>
    </w:p>
    <w:p w:rsidR="00CC7302" w:rsidRDefault="00CC7302">
      <w:pPr>
        <w:pStyle w:val="Standard"/>
      </w:pPr>
    </w:p>
    <w:p w:rsidR="00CC7302" w:rsidRDefault="00FC2AEC">
      <w:pPr>
        <w:pStyle w:val="Standard"/>
      </w:pPr>
      <w:r>
        <w:t>Zástupci Družební 17 odstoupili k datu 6.11.2013 pro neshody dílčího shromáždění vchodu. Jejich práci vykonával po zbývající období předseda výboru společenství, pan Ivo Studený – dílčím shromážděním nebyl navržen jiný zástupce vchodu, proto  vchod Družební 17 nemá ve výboru žádného zástupce (návaznost na další hlasování o platbě za zástup dílčího vchodu).</w:t>
      </w:r>
    </w:p>
    <w:p w:rsidR="00CC7302" w:rsidRDefault="00FC2AEC">
      <w:pPr>
        <w:pStyle w:val="Standard"/>
        <w:numPr>
          <w:ilvl w:val="0"/>
          <w:numId w:val="7"/>
        </w:numPr>
      </w:pPr>
      <w:r>
        <w:t>Končí tříleté funkční období zástupci Družební 11 – dílčím shromážděním byl navržen stejný zástupce  vchodu – paní Jiřina Nowaková a jako další zástupce vchodu pan Radek Vohralík.</w:t>
      </w:r>
    </w:p>
    <w:p w:rsidR="00CC7302" w:rsidRDefault="00FC2AEC">
      <w:pPr>
        <w:pStyle w:val="Standard"/>
        <w:numPr>
          <w:ilvl w:val="0"/>
          <w:numId w:val="6"/>
        </w:numPr>
      </w:pPr>
      <w:r>
        <w:t>Končí tříleté funkční období zástupcům Družební 15 – dílčím shromážděním byli zástupci znova navrženi do funkce –</w:t>
      </w:r>
      <w:r w:rsidR="009B5045">
        <w:t xml:space="preserve"> </w:t>
      </w:r>
      <w:r>
        <w:t>pan Jan Kuchyňka a pan Rudolf Schejbal.</w:t>
      </w:r>
    </w:p>
    <w:p w:rsidR="00CC7302" w:rsidRDefault="00FC2AEC">
      <w:pPr>
        <w:pStyle w:val="Standard"/>
        <w:numPr>
          <w:ilvl w:val="0"/>
          <w:numId w:val="6"/>
        </w:numPr>
      </w:pPr>
      <w:r>
        <w:t>Končí tříleté funkční období zástupcům Družební 19 – dílčím shromážděním byli zástupci znova navrženi do funkce –</w:t>
      </w:r>
      <w:r w:rsidR="009B5045">
        <w:t xml:space="preserve"> </w:t>
      </w:r>
      <w:r>
        <w:t>paní Zdeňka Labounková a paní Šárka Báťková</w:t>
      </w:r>
    </w:p>
    <w:p w:rsidR="00CC7302" w:rsidRDefault="00FC2AEC">
      <w:pPr>
        <w:pStyle w:val="Standard"/>
        <w:numPr>
          <w:ilvl w:val="0"/>
          <w:numId w:val="6"/>
        </w:numPr>
      </w:pPr>
      <w:r>
        <w:t>Končí tříleté funkční období kontrolní komisi – členky kontrolní komise jsou znovu navrženy do funkce – paní Hana Martínková, paní Pavlína Hanzlíková a paní Věra Štembírková.</w:t>
      </w:r>
    </w:p>
    <w:p w:rsidR="00CC7302" w:rsidRDefault="00CC7302">
      <w:pPr>
        <w:pStyle w:val="Standard"/>
        <w:ind w:left="360"/>
      </w:pPr>
    </w:p>
    <w:p w:rsidR="00CC7302" w:rsidRDefault="00FC2AEC">
      <w:pPr>
        <w:pStyle w:val="Standard"/>
      </w:pPr>
      <w:r>
        <w:t xml:space="preserve">Kandidátní listina </w:t>
      </w:r>
      <w:r w:rsidR="009B5045">
        <w:t xml:space="preserve">na </w:t>
      </w:r>
      <w:r>
        <w:t>člen</w:t>
      </w:r>
      <w:r w:rsidR="009B5045">
        <w:t>a</w:t>
      </w:r>
      <w:r>
        <w:t xml:space="preserve"> výboru</w:t>
      </w:r>
      <w:r w:rsidR="009B5045">
        <w:t xml:space="preserve"> a zástupce vchodu</w:t>
      </w:r>
      <w:r>
        <w:t xml:space="preserve"> - informace byla ústně  opakována přímo na shromáždění společenství před zahájením hlasování takto:</w:t>
      </w:r>
    </w:p>
    <w:tbl>
      <w:tblPr>
        <w:tblW w:w="9286" w:type="dxa"/>
        <w:tblInd w:w="-108" w:type="dxa"/>
        <w:tblLayout w:type="fixed"/>
        <w:tblCellMar>
          <w:left w:w="10" w:type="dxa"/>
          <w:right w:w="10" w:type="dxa"/>
        </w:tblCellMar>
        <w:tblLook w:val="0000" w:firstRow="0" w:lastRow="0" w:firstColumn="0" w:lastColumn="0" w:noHBand="0" w:noVBand="0"/>
      </w:tblPr>
      <w:tblGrid>
        <w:gridCol w:w="1137"/>
        <w:gridCol w:w="2468"/>
        <w:gridCol w:w="4322"/>
        <w:gridCol w:w="1359"/>
      </w:tblGrid>
      <w:tr w:rsidR="00CC7302" w:rsidTr="008B0EC8">
        <w:tc>
          <w:tcPr>
            <w:tcW w:w="1137" w:type="dxa"/>
            <w:tcBorders>
              <w:top w:val="double" w:sz="4" w:space="0" w:color="auto"/>
              <w:left w:val="double" w:sz="4" w:space="0" w:color="auto"/>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D  11</w:t>
            </w:r>
          </w:p>
        </w:tc>
        <w:tc>
          <w:tcPr>
            <w:tcW w:w="2468" w:type="dxa"/>
            <w:tcBorders>
              <w:top w:val="double" w:sz="4" w:space="0" w:color="auto"/>
              <w:left w:val="single" w:sz="4" w:space="0" w:color="00000A"/>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Jiřina Nowaková</w:t>
            </w:r>
          </w:p>
          <w:p w:rsidR="00CC7302" w:rsidRDefault="00FC2AEC" w:rsidP="008B0EC8">
            <w:pPr>
              <w:pStyle w:val="Standard"/>
            </w:pPr>
            <w:r>
              <w:t>Radek Vohralík</w:t>
            </w:r>
          </w:p>
        </w:tc>
        <w:tc>
          <w:tcPr>
            <w:tcW w:w="4322" w:type="dxa"/>
            <w:tcBorders>
              <w:top w:val="double" w:sz="4" w:space="0" w:color="auto"/>
              <w:left w:val="single" w:sz="4" w:space="0" w:color="00000A"/>
              <w:bottom w:val="double" w:sz="4" w:space="0" w:color="auto"/>
              <w:right w:val="double" w:sz="4" w:space="0" w:color="auto"/>
            </w:tcBorders>
            <w:shd w:val="clear" w:color="auto" w:fill="FFFFFF"/>
            <w:tcMar>
              <w:top w:w="0" w:type="dxa"/>
              <w:left w:w="108" w:type="dxa"/>
              <w:bottom w:w="0" w:type="dxa"/>
              <w:right w:w="108" w:type="dxa"/>
            </w:tcMar>
          </w:tcPr>
          <w:p w:rsidR="00CC7302" w:rsidRDefault="00FC2AEC" w:rsidP="008B0EC8">
            <w:pPr>
              <w:pStyle w:val="Standard"/>
            </w:pPr>
            <w:r>
              <w:t>zástupce Družební 11</w:t>
            </w:r>
          </w:p>
          <w:p w:rsidR="00CC7302" w:rsidRDefault="00CC7302" w:rsidP="008B0EC8">
            <w:pPr>
              <w:pStyle w:val="Standard"/>
            </w:pPr>
          </w:p>
        </w:tc>
        <w:tc>
          <w:tcPr>
            <w:tcW w:w="1359" w:type="dxa"/>
            <w:vMerge w:val="restart"/>
            <w:tcBorders>
              <w:top w:val="double" w:sz="4" w:space="0" w:color="auto"/>
              <w:left w:val="double" w:sz="4" w:space="0" w:color="auto"/>
              <w:bottom w:val="single" w:sz="4" w:space="0" w:color="00000A"/>
              <w:right w:val="double" w:sz="4" w:space="0" w:color="auto"/>
            </w:tcBorders>
            <w:shd w:val="clear" w:color="auto" w:fill="auto"/>
            <w:tcMar>
              <w:top w:w="0" w:type="dxa"/>
              <w:left w:w="108" w:type="dxa"/>
              <w:bottom w:w="0" w:type="dxa"/>
              <w:right w:w="108" w:type="dxa"/>
            </w:tcMar>
          </w:tcPr>
          <w:p w:rsidR="00CC7302" w:rsidRDefault="00CC7302" w:rsidP="008B0EC8">
            <w:pPr>
              <w:pStyle w:val="Standard"/>
            </w:pPr>
          </w:p>
        </w:tc>
      </w:tr>
      <w:tr w:rsidR="00CC7302" w:rsidTr="008B0EC8">
        <w:tc>
          <w:tcPr>
            <w:tcW w:w="1137" w:type="dxa"/>
            <w:tcBorders>
              <w:top w:val="double" w:sz="4" w:space="0" w:color="auto"/>
              <w:left w:val="double" w:sz="4" w:space="0" w:color="auto"/>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D 15</w:t>
            </w:r>
          </w:p>
        </w:tc>
        <w:tc>
          <w:tcPr>
            <w:tcW w:w="2468" w:type="dxa"/>
            <w:tcBorders>
              <w:top w:val="double" w:sz="4" w:space="0" w:color="auto"/>
              <w:left w:val="single" w:sz="4" w:space="0" w:color="00000A"/>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Jan Kuchyňka</w:t>
            </w:r>
          </w:p>
          <w:p w:rsidR="00CC7302" w:rsidRDefault="00FC2AEC" w:rsidP="008B0EC8">
            <w:pPr>
              <w:pStyle w:val="Standard"/>
            </w:pPr>
            <w:r>
              <w:t>Rudolf Schejbal</w:t>
            </w:r>
          </w:p>
        </w:tc>
        <w:tc>
          <w:tcPr>
            <w:tcW w:w="4322" w:type="dxa"/>
            <w:tcBorders>
              <w:top w:val="double" w:sz="4" w:space="0" w:color="auto"/>
              <w:left w:val="single" w:sz="4" w:space="0" w:color="00000A"/>
              <w:bottom w:val="double" w:sz="4" w:space="0" w:color="auto"/>
              <w:right w:val="double" w:sz="4" w:space="0" w:color="auto"/>
            </w:tcBorders>
            <w:shd w:val="clear" w:color="auto" w:fill="FFFFFF"/>
            <w:tcMar>
              <w:top w:w="0" w:type="dxa"/>
              <w:left w:w="108" w:type="dxa"/>
              <w:bottom w:w="0" w:type="dxa"/>
              <w:right w:w="108" w:type="dxa"/>
            </w:tcMar>
          </w:tcPr>
          <w:p w:rsidR="00CC7302" w:rsidRDefault="00FC2AEC" w:rsidP="008B0EC8">
            <w:pPr>
              <w:pStyle w:val="Standard"/>
            </w:pPr>
            <w:r>
              <w:t>zástupce Družební 15</w:t>
            </w:r>
          </w:p>
        </w:tc>
        <w:tc>
          <w:tcPr>
            <w:tcW w:w="1359" w:type="dxa"/>
            <w:vMerge/>
            <w:tcBorders>
              <w:top w:val="double" w:sz="12" w:space="0" w:color="00000A"/>
              <w:left w:val="double" w:sz="4" w:space="0" w:color="auto"/>
              <w:bottom w:val="single" w:sz="4" w:space="0" w:color="00000A"/>
              <w:right w:val="double" w:sz="4" w:space="0" w:color="auto"/>
            </w:tcBorders>
            <w:shd w:val="clear" w:color="auto" w:fill="FFFFFF"/>
            <w:tcMar>
              <w:top w:w="0" w:type="dxa"/>
              <w:left w:w="108" w:type="dxa"/>
              <w:bottom w:w="0" w:type="dxa"/>
              <w:right w:w="108" w:type="dxa"/>
            </w:tcMar>
          </w:tcPr>
          <w:p w:rsidR="007D6222" w:rsidRDefault="007D6222" w:rsidP="008B0EC8"/>
        </w:tc>
      </w:tr>
      <w:tr w:rsidR="00CC7302" w:rsidTr="008B0EC8">
        <w:tc>
          <w:tcPr>
            <w:tcW w:w="1137" w:type="dxa"/>
            <w:tcBorders>
              <w:top w:val="double" w:sz="4" w:space="0" w:color="auto"/>
              <w:left w:val="double" w:sz="4" w:space="0" w:color="auto"/>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D 19</w:t>
            </w:r>
          </w:p>
        </w:tc>
        <w:tc>
          <w:tcPr>
            <w:tcW w:w="2468" w:type="dxa"/>
            <w:tcBorders>
              <w:top w:val="double" w:sz="4" w:space="0" w:color="auto"/>
              <w:left w:val="single" w:sz="4" w:space="0" w:color="00000A"/>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Zdeňka Labounková</w:t>
            </w:r>
          </w:p>
          <w:p w:rsidR="00CC7302" w:rsidRDefault="00FC2AEC" w:rsidP="008B0EC8">
            <w:pPr>
              <w:pStyle w:val="Standard"/>
            </w:pPr>
            <w:r>
              <w:t>Šárka Báťková</w:t>
            </w:r>
          </w:p>
        </w:tc>
        <w:tc>
          <w:tcPr>
            <w:tcW w:w="4322" w:type="dxa"/>
            <w:tcBorders>
              <w:top w:val="double" w:sz="4" w:space="0" w:color="auto"/>
              <w:left w:val="single" w:sz="4" w:space="0" w:color="00000A"/>
              <w:bottom w:val="double" w:sz="4" w:space="0" w:color="auto"/>
              <w:right w:val="double" w:sz="4" w:space="0" w:color="auto"/>
            </w:tcBorders>
            <w:shd w:val="clear" w:color="auto" w:fill="FFFFFF"/>
            <w:tcMar>
              <w:top w:w="0" w:type="dxa"/>
              <w:left w:w="108" w:type="dxa"/>
              <w:bottom w:w="0" w:type="dxa"/>
              <w:right w:w="108" w:type="dxa"/>
            </w:tcMar>
          </w:tcPr>
          <w:p w:rsidR="00CC7302" w:rsidRDefault="00FC2AEC" w:rsidP="008B0EC8">
            <w:pPr>
              <w:pStyle w:val="Standard"/>
            </w:pPr>
            <w:r>
              <w:t>zástupce Družební 19</w:t>
            </w:r>
          </w:p>
        </w:tc>
        <w:tc>
          <w:tcPr>
            <w:tcW w:w="1359" w:type="dxa"/>
            <w:vMerge/>
            <w:tcBorders>
              <w:top w:val="double" w:sz="12" w:space="0" w:color="00000A"/>
              <w:left w:val="double" w:sz="4" w:space="0" w:color="auto"/>
              <w:bottom w:val="single" w:sz="4" w:space="0" w:color="00000A"/>
              <w:right w:val="double" w:sz="4" w:space="0" w:color="auto"/>
            </w:tcBorders>
            <w:shd w:val="clear" w:color="auto" w:fill="FFFFFF"/>
            <w:tcMar>
              <w:top w:w="0" w:type="dxa"/>
              <w:left w:w="108" w:type="dxa"/>
              <w:bottom w:w="0" w:type="dxa"/>
              <w:right w:w="108" w:type="dxa"/>
            </w:tcMar>
          </w:tcPr>
          <w:p w:rsidR="007D6222" w:rsidRDefault="007D6222" w:rsidP="008B0EC8"/>
        </w:tc>
      </w:tr>
      <w:tr w:rsidR="00CC7302" w:rsidTr="008B0EC8">
        <w:tc>
          <w:tcPr>
            <w:tcW w:w="1137" w:type="dxa"/>
            <w:tcBorders>
              <w:top w:val="double" w:sz="4" w:space="0" w:color="auto"/>
              <w:left w:val="double" w:sz="4" w:space="0" w:color="auto"/>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kontrolní komise</w:t>
            </w:r>
          </w:p>
        </w:tc>
        <w:tc>
          <w:tcPr>
            <w:tcW w:w="2468" w:type="dxa"/>
            <w:tcBorders>
              <w:top w:val="double" w:sz="4" w:space="0" w:color="auto"/>
              <w:left w:val="single" w:sz="4" w:space="0" w:color="00000A"/>
              <w:bottom w:val="double" w:sz="4" w:space="0" w:color="auto"/>
              <w:right w:val="single" w:sz="4" w:space="0" w:color="00000A"/>
            </w:tcBorders>
            <w:shd w:val="clear" w:color="auto" w:fill="FFFFFF"/>
            <w:tcMar>
              <w:top w:w="0" w:type="dxa"/>
              <w:left w:w="108" w:type="dxa"/>
              <w:bottom w:w="0" w:type="dxa"/>
              <w:right w:w="108" w:type="dxa"/>
            </w:tcMar>
          </w:tcPr>
          <w:p w:rsidR="00CC7302" w:rsidRDefault="00FC2AEC" w:rsidP="008B0EC8">
            <w:pPr>
              <w:pStyle w:val="Standard"/>
            </w:pPr>
            <w:r>
              <w:t>Hana Martínková</w:t>
            </w:r>
          </w:p>
          <w:p w:rsidR="00CC7302" w:rsidRDefault="00FC2AEC" w:rsidP="008B0EC8">
            <w:pPr>
              <w:pStyle w:val="Standard"/>
            </w:pPr>
            <w:r>
              <w:t>Pavlína Hanzlíková</w:t>
            </w:r>
          </w:p>
          <w:p w:rsidR="00CC7302" w:rsidRDefault="00FC2AEC" w:rsidP="008B0EC8">
            <w:pPr>
              <w:pStyle w:val="Standard"/>
            </w:pPr>
            <w:r>
              <w:t>Věra Štembírková</w:t>
            </w:r>
          </w:p>
        </w:tc>
        <w:tc>
          <w:tcPr>
            <w:tcW w:w="4322" w:type="dxa"/>
            <w:tcBorders>
              <w:top w:val="double" w:sz="4" w:space="0" w:color="auto"/>
              <w:left w:val="single" w:sz="4" w:space="0" w:color="00000A"/>
              <w:bottom w:val="double" w:sz="4" w:space="0" w:color="auto"/>
              <w:right w:val="double" w:sz="4" w:space="0" w:color="auto"/>
            </w:tcBorders>
            <w:shd w:val="clear" w:color="auto" w:fill="FFFFFF"/>
            <w:tcMar>
              <w:top w:w="0" w:type="dxa"/>
              <w:left w:w="108" w:type="dxa"/>
              <w:bottom w:w="0" w:type="dxa"/>
              <w:right w:w="108" w:type="dxa"/>
            </w:tcMar>
          </w:tcPr>
          <w:p w:rsidR="00CC7302" w:rsidRDefault="00CC7302" w:rsidP="008B0EC8">
            <w:pPr>
              <w:pStyle w:val="Standard"/>
            </w:pPr>
          </w:p>
        </w:tc>
        <w:tc>
          <w:tcPr>
            <w:tcW w:w="1359" w:type="dxa"/>
            <w:vMerge/>
            <w:tcBorders>
              <w:top w:val="double" w:sz="12" w:space="0" w:color="00000A"/>
              <w:left w:val="double" w:sz="4" w:space="0" w:color="auto"/>
              <w:bottom w:val="double" w:sz="4" w:space="0" w:color="auto"/>
              <w:right w:val="double" w:sz="4" w:space="0" w:color="auto"/>
            </w:tcBorders>
            <w:shd w:val="clear" w:color="auto" w:fill="FFFFFF"/>
            <w:tcMar>
              <w:top w:w="0" w:type="dxa"/>
              <w:left w:w="108" w:type="dxa"/>
              <w:bottom w:w="0" w:type="dxa"/>
              <w:right w:w="108" w:type="dxa"/>
            </w:tcMar>
          </w:tcPr>
          <w:p w:rsidR="007D6222" w:rsidRDefault="007D6222" w:rsidP="008B0EC8"/>
        </w:tc>
      </w:tr>
      <w:tr w:rsidR="008B0EC8" w:rsidTr="008B0EC8">
        <w:tblPrEx>
          <w:tblBorders>
            <w:top w:val="double" w:sz="4" w:space="0" w:color="auto"/>
          </w:tblBorders>
          <w:tblCellMar>
            <w:left w:w="70" w:type="dxa"/>
            <w:right w:w="70" w:type="dxa"/>
          </w:tblCellMar>
        </w:tblPrEx>
        <w:trPr>
          <w:trHeight w:val="100"/>
        </w:trPr>
        <w:tc>
          <w:tcPr>
            <w:tcW w:w="9286" w:type="dxa"/>
            <w:gridSpan w:val="4"/>
            <w:tcBorders>
              <w:top w:val="double" w:sz="4" w:space="0" w:color="auto"/>
            </w:tcBorders>
          </w:tcPr>
          <w:p w:rsidR="008B0EC8" w:rsidRDefault="008B0EC8" w:rsidP="008B0EC8">
            <w:pPr>
              <w:pStyle w:val="Standard"/>
            </w:pPr>
          </w:p>
        </w:tc>
      </w:tr>
    </w:tbl>
    <w:p w:rsidR="00CC7302" w:rsidRDefault="00FC2AEC">
      <w:pPr>
        <w:pStyle w:val="Standard"/>
      </w:pPr>
      <w:r>
        <w:t>Hlasování: Bylo jednotně hlasováno o předloženém návrhu – volba člena výboru a kontrolní komise  na 3leté funkční období.</w:t>
      </w:r>
    </w:p>
    <w:p w:rsidR="00CC7302" w:rsidRDefault="00FC2AEC">
      <w:pPr>
        <w:pStyle w:val="Standard"/>
      </w:pPr>
      <w:r>
        <w:rPr>
          <w:b/>
        </w:rPr>
        <w:t xml:space="preserve">Výsledek: Návrh kandidáta výboru </w:t>
      </w:r>
      <w:r w:rsidR="008B0EC8">
        <w:rPr>
          <w:b/>
        </w:rPr>
        <w:t xml:space="preserve">a zástupce vchodu </w:t>
      </w:r>
      <w:r>
        <w:rPr>
          <w:b/>
        </w:rPr>
        <w:t>podle předložené kandidátní listiny</w:t>
      </w:r>
      <w:r w:rsidR="00CD20B5">
        <w:rPr>
          <w:b/>
        </w:rPr>
        <w:t xml:space="preserve"> byl schválen</w:t>
      </w:r>
    </w:p>
    <w:tbl>
      <w:tblPr>
        <w:tblW w:w="9209" w:type="dxa"/>
        <w:tblInd w:w="-108" w:type="dxa"/>
        <w:tblLayout w:type="fixed"/>
        <w:tblCellMar>
          <w:left w:w="10" w:type="dxa"/>
          <w:right w:w="10" w:type="dxa"/>
        </w:tblCellMar>
        <w:tblLook w:val="0000" w:firstRow="0" w:lastRow="0" w:firstColumn="0" w:lastColumn="0" w:noHBand="0" w:noVBand="0"/>
      </w:tblPr>
      <w:tblGrid>
        <w:gridCol w:w="2303"/>
        <w:gridCol w:w="2300"/>
        <w:gridCol w:w="2302"/>
        <w:gridCol w:w="2304"/>
      </w:tblGrid>
      <w:tr w:rsidR="00CC7302">
        <w:tc>
          <w:tcPr>
            <w:tcW w:w="2302" w:type="dxa"/>
            <w:tcBorders>
              <w:top w:val="double" w:sz="12"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CC7302">
            <w:pPr>
              <w:pStyle w:val="Standard"/>
            </w:pPr>
          </w:p>
        </w:tc>
        <w:tc>
          <w:tcPr>
            <w:tcW w:w="2300" w:type="dxa"/>
            <w:tcBorders>
              <w:top w:val="double" w:sz="12"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w:t>
            </w:r>
          </w:p>
        </w:tc>
        <w:tc>
          <w:tcPr>
            <w:tcW w:w="2302" w:type="dxa"/>
            <w:tcBorders>
              <w:top w:val="double" w:sz="12"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PROTI</w:t>
            </w:r>
          </w:p>
        </w:tc>
        <w:tc>
          <w:tcPr>
            <w:tcW w:w="2304" w:type="dxa"/>
            <w:tcBorders>
              <w:top w:val="double" w:sz="12"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ZDRŽEL</w:t>
            </w:r>
          </w:p>
        </w:tc>
      </w:tr>
      <w:tr w:rsidR="00CC7302">
        <w:tc>
          <w:tcPr>
            <w:tcW w:w="2302" w:type="dxa"/>
            <w:tcBorders>
              <w:top w:val="double" w:sz="12" w:space="0" w:color="00000A"/>
              <w:left w:val="double" w:sz="12"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váhy hlasů</w:t>
            </w:r>
          </w:p>
        </w:tc>
        <w:tc>
          <w:tcPr>
            <w:tcW w:w="2300" w:type="dxa"/>
            <w:tcBorders>
              <w:top w:val="double" w:sz="12" w:space="0" w:color="00000A"/>
              <w:left w:val="double" w:sz="12"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62,0605</w:t>
            </w:r>
          </w:p>
        </w:tc>
        <w:tc>
          <w:tcPr>
            <w:tcW w:w="2302" w:type="dxa"/>
            <w:tcBorders>
              <w:top w:val="double" w:sz="12"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0</w:t>
            </w:r>
          </w:p>
        </w:tc>
        <w:tc>
          <w:tcPr>
            <w:tcW w:w="2304" w:type="dxa"/>
            <w:tcBorders>
              <w:top w:val="double" w:sz="12" w:space="0" w:color="00000A"/>
              <w:left w:val="single" w:sz="4"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0</w:t>
            </w:r>
          </w:p>
        </w:tc>
      </w:tr>
      <w:tr w:rsidR="00CC7302">
        <w:tc>
          <w:tcPr>
            <w:tcW w:w="2302" w:type="dxa"/>
            <w:tcBorders>
              <w:top w:val="single" w:sz="4"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počtu hlasů</w:t>
            </w:r>
          </w:p>
        </w:tc>
        <w:tc>
          <w:tcPr>
            <w:tcW w:w="2300" w:type="dxa"/>
            <w:tcBorders>
              <w:top w:val="single" w:sz="4"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84</w:t>
            </w:r>
          </w:p>
        </w:tc>
        <w:tc>
          <w:tcPr>
            <w:tcW w:w="2302" w:type="dxa"/>
            <w:tcBorders>
              <w:top w:val="single" w:sz="4"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0</w:t>
            </w:r>
          </w:p>
        </w:tc>
        <w:tc>
          <w:tcPr>
            <w:tcW w:w="2304" w:type="dxa"/>
            <w:tcBorders>
              <w:top w:val="single" w:sz="4"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0</w:t>
            </w:r>
          </w:p>
        </w:tc>
      </w:tr>
    </w:tbl>
    <w:p w:rsidR="00CC7302" w:rsidRDefault="00CC7302">
      <w:pPr>
        <w:pStyle w:val="Standard"/>
      </w:pPr>
    </w:p>
    <w:p w:rsidR="00CC7302" w:rsidRDefault="00FC2AEC">
      <w:pPr>
        <w:pStyle w:val="Standard"/>
      </w:pPr>
      <w:r>
        <w:t xml:space="preserve">Nový výbor se sejde na své první schůzce dne 7. prosince 2015 v Domě dětí </w:t>
      </w:r>
      <w:r>
        <w:br/>
        <w:t>a mládeže na Jánského 1, Olomouc (v 18 hodin) – podle plánu schůzi na rok 2015. Předseda současně poděkoval všem členům za jejich práci ve výboru a pro společenství.</w:t>
      </w:r>
    </w:p>
    <w:p w:rsidR="00CC7302" w:rsidRDefault="00CC7302">
      <w:pPr>
        <w:pStyle w:val="Standard"/>
        <w:ind w:firstLine="708"/>
      </w:pPr>
    </w:p>
    <w:p w:rsidR="00CC7302" w:rsidRDefault="00FC2AEC">
      <w:pPr>
        <w:pStyle w:val="Standard"/>
        <w:ind w:firstLine="708"/>
      </w:pPr>
      <w:r>
        <w:t>Výbor společenství vlastníků bytových jednotek, a kontrolní komise výboru Olomouc, Družební 714/9, 715/11, 716/13, 717/15, 718/17, 719/19 pracuje tedy od 1.11.2015 v tomto složení:</w:t>
      </w:r>
    </w:p>
    <w:p w:rsidR="00CC7302" w:rsidRDefault="00CC7302">
      <w:pPr>
        <w:pStyle w:val="Standard"/>
        <w:ind w:firstLine="708"/>
      </w:pPr>
    </w:p>
    <w:tbl>
      <w:tblPr>
        <w:tblW w:w="7054" w:type="dxa"/>
        <w:tblInd w:w="-108" w:type="dxa"/>
        <w:tblLayout w:type="fixed"/>
        <w:tblCellMar>
          <w:left w:w="10" w:type="dxa"/>
          <w:right w:w="10" w:type="dxa"/>
        </w:tblCellMar>
        <w:tblLook w:val="0000" w:firstRow="0" w:lastRow="0" w:firstColumn="0" w:lastColumn="0" w:noHBand="0" w:noVBand="0"/>
      </w:tblPr>
      <w:tblGrid>
        <w:gridCol w:w="2039"/>
        <w:gridCol w:w="3345"/>
        <w:gridCol w:w="1670"/>
      </w:tblGrid>
      <w:tr w:rsidR="00CC7302">
        <w:tc>
          <w:tcPr>
            <w:tcW w:w="20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rsidP="008E7BA4">
            <w:pPr>
              <w:pStyle w:val="Standard"/>
            </w:pPr>
            <w:r>
              <w:rPr>
                <w:b/>
                <w:i/>
                <w:u w:val="single"/>
              </w:rPr>
              <w:t>Výbor–</w:t>
            </w:r>
            <w:r w:rsidR="008E7BA4">
              <w:rPr>
                <w:b/>
                <w:i/>
                <w:u w:val="single"/>
              </w:rPr>
              <w:t>10</w:t>
            </w:r>
            <w:r>
              <w:rPr>
                <w:b/>
                <w:i/>
                <w:u w:val="single"/>
              </w:rPr>
              <w:t xml:space="preserve"> členů</w:t>
            </w:r>
          </w:p>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ind w:left="170"/>
            </w:pPr>
            <w:r>
              <w:rPr>
                <w:b/>
                <w:i/>
                <w:u w:val="single"/>
              </w:rPr>
              <w:t>jméno</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pPr>
            <w:r>
              <w:rPr>
                <w:b/>
                <w:i/>
                <w:u w:val="single"/>
              </w:rPr>
              <w:t xml:space="preserve">    obnova</w:t>
            </w:r>
          </w:p>
        </w:tc>
      </w:tr>
      <w:tr w:rsidR="00CC7302">
        <w:tc>
          <w:tcPr>
            <w:tcW w:w="203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pPr>
            <w:r>
              <w:rPr>
                <w:b/>
                <w:i/>
              </w:rPr>
              <w:t>Družební 9</w:t>
            </w:r>
          </w:p>
          <w:p w:rsidR="00CC7302" w:rsidRDefault="00CC7302">
            <w:pPr>
              <w:pStyle w:val="Standard"/>
              <w:rPr>
                <w:b/>
                <w:i/>
              </w:rPr>
            </w:pPr>
          </w:p>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Ivo Studený</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2016</w:t>
            </w:r>
          </w:p>
        </w:tc>
      </w:tr>
      <w:tr w:rsidR="00CC7302">
        <w:trPr>
          <w:trHeight w:val="363"/>
        </w:trPr>
        <w:tc>
          <w:tcPr>
            <w:tcW w:w="203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D6222" w:rsidRDefault="007D6222"/>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Miroslav Pírek</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2017</w:t>
            </w:r>
          </w:p>
        </w:tc>
      </w:tr>
      <w:tr w:rsidR="00CC7302">
        <w:tc>
          <w:tcPr>
            <w:tcW w:w="203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pPr>
            <w:r>
              <w:rPr>
                <w:b/>
                <w:i/>
              </w:rPr>
              <w:t>Družební 11</w:t>
            </w:r>
          </w:p>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Jiřina Nowaková</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2018</w:t>
            </w:r>
          </w:p>
        </w:tc>
      </w:tr>
      <w:tr w:rsidR="00CC7302">
        <w:tc>
          <w:tcPr>
            <w:tcW w:w="203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D6222" w:rsidRDefault="007D6222"/>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rPr>
                <w:sz w:val="20"/>
              </w:rPr>
            </w:pPr>
            <w:r w:rsidRPr="008E7BA4">
              <w:rPr>
                <w:b/>
                <w:i/>
                <w:sz w:val="20"/>
              </w:rPr>
              <w:t xml:space="preserve"> </w:t>
            </w:r>
            <w:r w:rsidR="008B0EC8">
              <w:rPr>
                <w:b/>
                <w:i/>
                <w:sz w:val="20"/>
              </w:rPr>
              <w:t xml:space="preserve"> </w:t>
            </w:r>
            <w:r w:rsidRPr="008E7BA4">
              <w:rPr>
                <w:b/>
                <w:i/>
                <w:sz w:val="20"/>
              </w:rPr>
              <w:t>Radek Vohralík</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8E7BA4" w:rsidP="008E7BA4">
            <w:pPr>
              <w:pStyle w:val="Standard"/>
              <w:rPr>
                <w:sz w:val="20"/>
              </w:rPr>
            </w:pPr>
            <w:r>
              <w:rPr>
                <w:b/>
                <w:i/>
                <w:sz w:val="20"/>
              </w:rPr>
              <w:t xml:space="preserve">      </w:t>
            </w:r>
            <w:r w:rsidR="00FC2AEC" w:rsidRPr="008E7BA4">
              <w:rPr>
                <w:b/>
                <w:i/>
                <w:sz w:val="20"/>
              </w:rPr>
              <w:t>2018</w:t>
            </w:r>
          </w:p>
        </w:tc>
      </w:tr>
      <w:tr w:rsidR="00CC7302">
        <w:tc>
          <w:tcPr>
            <w:tcW w:w="203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pPr>
            <w:r>
              <w:rPr>
                <w:b/>
                <w:i/>
              </w:rPr>
              <w:t>Družební 13</w:t>
            </w:r>
          </w:p>
          <w:p w:rsidR="00CC7302" w:rsidRDefault="00CC7302">
            <w:pPr>
              <w:pStyle w:val="Standard"/>
              <w:rPr>
                <w:b/>
                <w:i/>
              </w:rPr>
            </w:pPr>
          </w:p>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Martin Doležel</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2017</w:t>
            </w:r>
          </w:p>
        </w:tc>
      </w:tr>
      <w:tr w:rsidR="00CC7302">
        <w:tc>
          <w:tcPr>
            <w:tcW w:w="203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D6222" w:rsidRDefault="007D6222"/>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Juraj Lešanič</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2017</w:t>
            </w:r>
          </w:p>
        </w:tc>
      </w:tr>
      <w:tr w:rsidR="00CC7302">
        <w:tc>
          <w:tcPr>
            <w:tcW w:w="203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pPr>
            <w:r>
              <w:rPr>
                <w:b/>
                <w:i/>
              </w:rPr>
              <w:t>Družební 15</w:t>
            </w:r>
          </w:p>
          <w:p w:rsidR="00CC7302" w:rsidRDefault="00CC7302">
            <w:pPr>
              <w:pStyle w:val="Standard"/>
              <w:rPr>
                <w:b/>
                <w:i/>
              </w:rPr>
            </w:pPr>
          </w:p>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Jan Kuchyňka</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2018</w:t>
            </w:r>
          </w:p>
        </w:tc>
      </w:tr>
      <w:tr w:rsidR="00CC7302">
        <w:tc>
          <w:tcPr>
            <w:tcW w:w="203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D6222" w:rsidRDefault="007D6222"/>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Rudolf Schejbal</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2018</w:t>
            </w:r>
          </w:p>
        </w:tc>
      </w:tr>
      <w:tr w:rsidR="00CC7302">
        <w:tc>
          <w:tcPr>
            <w:tcW w:w="203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pPr>
            <w:r>
              <w:rPr>
                <w:b/>
                <w:i/>
              </w:rPr>
              <w:t>Družební 17</w:t>
            </w:r>
          </w:p>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0</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CC7302">
            <w:pPr>
              <w:pStyle w:val="Standard"/>
              <w:rPr>
                <w:b/>
                <w:i/>
                <w:sz w:val="20"/>
              </w:rPr>
            </w:pPr>
          </w:p>
        </w:tc>
      </w:tr>
      <w:tr w:rsidR="00CC7302">
        <w:tc>
          <w:tcPr>
            <w:tcW w:w="203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D6222" w:rsidRDefault="007D6222"/>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8E7BA4">
            <w:pPr>
              <w:pStyle w:val="Standard"/>
              <w:rPr>
                <w:b/>
                <w:i/>
                <w:sz w:val="20"/>
              </w:rPr>
            </w:pPr>
            <w:r>
              <w:rPr>
                <w:b/>
                <w:i/>
                <w:sz w:val="20"/>
              </w:rPr>
              <w:t xml:space="preserve">  0</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CC7302">
            <w:pPr>
              <w:pStyle w:val="Standard"/>
              <w:rPr>
                <w:b/>
                <w:i/>
                <w:sz w:val="20"/>
              </w:rPr>
            </w:pPr>
          </w:p>
        </w:tc>
      </w:tr>
      <w:tr w:rsidR="00CC7302">
        <w:tc>
          <w:tcPr>
            <w:tcW w:w="203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pPr>
            <w:r>
              <w:rPr>
                <w:b/>
                <w:i/>
              </w:rPr>
              <w:t>Družební 19</w:t>
            </w:r>
          </w:p>
          <w:p w:rsidR="00CC7302" w:rsidRDefault="00CC7302">
            <w:pPr>
              <w:pStyle w:val="Standard"/>
              <w:rPr>
                <w:b/>
                <w:i/>
              </w:rPr>
            </w:pPr>
          </w:p>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Šárka Báťková</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2018</w:t>
            </w:r>
          </w:p>
        </w:tc>
      </w:tr>
      <w:tr w:rsidR="00CC7302">
        <w:tc>
          <w:tcPr>
            <w:tcW w:w="203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D6222" w:rsidRDefault="007D6222"/>
        </w:t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125"/>
              <w:rPr>
                <w:sz w:val="20"/>
              </w:rPr>
            </w:pPr>
            <w:r w:rsidRPr="008E7BA4">
              <w:rPr>
                <w:b/>
                <w:i/>
                <w:sz w:val="20"/>
              </w:rPr>
              <w:t>Zdeňka Labounková</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ind w:left="355"/>
              <w:rPr>
                <w:sz w:val="20"/>
              </w:rPr>
            </w:pPr>
            <w:r w:rsidRPr="008E7BA4">
              <w:rPr>
                <w:b/>
                <w:i/>
                <w:sz w:val="20"/>
              </w:rPr>
              <w:t>2018</w:t>
            </w:r>
          </w:p>
        </w:tc>
      </w:tr>
      <w:tr w:rsidR="00CC7302" w:rsidTr="008E7BA4">
        <w:trPr>
          <w:trHeight w:val="691"/>
        </w:trPr>
        <w:tc>
          <w:tcPr>
            <w:tcW w:w="53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FC2AEC">
            <w:pPr>
              <w:pStyle w:val="Standard"/>
              <w:rPr>
                <w:sz w:val="20"/>
              </w:rPr>
            </w:pPr>
            <w:r w:rsidRPr="008E7BA4">
              <w:rPr>
                <w:b/>
                <w:i/>
                <w:u w:val="single"/>
              </w:rPr>
              <w:t>Kontrolní komise:</w:t>
            </w:r>
            <w:r w:rsidRPr="008E7BA4">
              <w:rPr>
                <w:b/>
                <w:i/>
                <w:u w:val="single"/>
              </w:rPr>
              <w:tab/>
            </w:r>
            <w:r w:rsidRPr="008E7BA4">
              <w:rPr>
                <w:b/>
                <w:i/>
                <w:sz w:val="20"/>
              </w:rPr>
              <w:tab/>
              <w:t>Věra Štembírková</w:t>
            </w:r>
          </w:p>
          <w:p w:rsidR="00CC7302" w:rsidRPr="008E7BA4" w:rsidRDefault="00FC2AEC">
            <w:pPr>
              <w:pStyle w:val="Standard"/>
              <w:rPr>
                <w:sz w:val="20"/>
              </w:rPr>
            </w:pPr>
            <w:r w:rsidRPr="008E7BA4">
              <w:rPr>
                <w:b/>
                <w:i/>
                <w:sz w:val="20"/>
              </w:rPr>
              <w:tab/>
            </w:r>
            <w:r w:rsidRPr="008E7BA4">
              <w:rPr>
                <w:b/>
                <w:i/>
                <w:sz w:val="20"/>
              </w:rPr>
              <w:tab/>
            </w:r>
            <w:r w:rsidRPr="008E7BA4">
              <w:rPr>
                <w:b/>
                <w:i/>
                <w:sz w:val="20"/>
              </w:rPr>
              <w:tab/>
            </w:r>
            <w:r w:rsidRPr="008E7BA4">
              <w:rPr>
                <w:b/>
                <w:i/>
                <w:sz w:val="20"/>
              </w:rPr>
              <w:tab/>
              <w:t>Hana Martínková</w:t>
            </w:r>
          </w:p>
          <w:p w:rsidR="00CC7302" w:rsidRPr="008E7BA4" w:rsidRDefault="00FC2AEC">
            <w:pPr>
              <w:pStyle w:val="Standard"/>
              <w:rPr>
                <w:sz w:val="20"/>
              </w:rPr>
            </w:pPr>
            <w:r w:rsidRPr="008E7BA4">
              <w:rPr>
                <w:b/>
                <w:i/>
                <w:sz w:val="20"/>
              </w:rPr>
              <w:tab/>
            </w:r>
            <w:r w:rsidRPr="008E7BA4">
              <w:rPr>
                <w:b/>
                <w:i/>
                <w:sz w:val="20"/>
              </w:rPr>
              <w:tab/>
            </w:r>
            <w:r w:rsidRPr="008E7BA4">
              <w:rPr>
                <w:b/>
                <w:i/>
                <w:sz w:val="20"/>
              </w:rPr>
              <w:tab/>
            </w:r>
            <w:r w:rsidRPr="008E7BA4">
              <w:rPr>
                <w:b/>
                <w:i/>
                <w:sz w:val="20"/>
              </w:rPr>
              <w:tab/>
              <w:t>Pavlína Hanzlíková</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Pr="008E7BA4" w:rsidRDefault="00CC7302">
            <w:pPr>
              <w:pStyle w:val="Standard"/>
              <w:ind w:left="320"/>
              <w:rPr>
                <w:b/>
                <w:i/>
                <w:sz w:val="20"/>
              </w:rPr>
            </w:pPr>
          </w:p>
          <w:p w:rsidR="00CC7302" w:rsidRPr="008E7BA4" w:rsidRDefault="00FC2AEC">
            <w:pPr>
              <w:pStyle w:val="Standard"/>
              <w:ind w:left="320"/>
              <w:rPr>
                <w:sz w:val="20"/>
              </w:rPr>
            </w:pPr>
            <w:r w:rsidRPr="008E7BA4">
              <w:rPr>
                <w:b/>
                <w:i/>
                <w:sz w:val="20"/>
              </w:rPr>
              <w:t>2018</w:t>
            </w:r>
          </w:p>
          <w:p w:rsidR="00CC7302" w:rsidRPr="008E7BA4" w:rsidRDefault="00CC7302">
            <w:pPr>
              <w:pStyle w:val="Standard"/>
              <w:ind w:left="320"/>
              <w:rPr>
                <w:b/>
                <w:i/>
                <w:sz w:val="20"/>
              </w:rPr>
            </w:pPr>
          </w:p>
        </w:tc>
      </w:tr>
    </w:tbl>
    <w:p w:rsidR="00CC7302" w:rsidRDefault="00CC7302">
      <w:pPr>
        <w:pStyle w:val="Standard"/>
      </w:pPr>
    </w:p>
    <w:p w:rsidR="00CD20B5" w:rsidRDefault="00CD20B5">
      <w:pPr>
        <w:pStyle w:val="Standard"/>
        <w:jc w:val="center"/>
        <w:rPr>
          <w:b/>
        </w:rPr>
      </w:pPr>
    </w:p>
    <w:p w:rsidR="00CC7302" w:rsidRDefault="00FC2AEC">
      <w:pPr>
        <w:pStyle w:val="Standard"/>
        <w:jc w:val="center"/>
      </w:pPr>
      <w:r>
        <w:rPr>
          <w:b/>
        </w:rPr>
        <w:t>5. Odměna za plnohodnotný zástup dílčího vchodu, který nemá zvoleného zástupce dle Stanov společenství</w:t>
      </w:r>
    </w:p>
    <w:p w:rsidR="00CC7302" w:rsidRDefault="00CC7302">
      <w:pPr>
        <w:pStyle w:val="Standard"/>
        <w:jc w:val="center"/>
        <w:rPr>
          <w:b/>
        </w:rPr>
      </w:pPr>
    </w:p>
    <w:p w:rsidR="008E7BA4" w:rsidRDefault="00FC2AEC">
      <w:pPr>
        <w:pStyle w:val="Standard"/>
        <w:rPr>
          <w:b/>
          <w:bCs/>
        </w:rPr>
      </w:pPr>
      <w:r>
        <w:t xml:space="preserve">Zástupci Družební 17 odstoupili </w:t>
      </w:r>
      <w:r w:rsidR="008B0EC8">
        <w:t xml:space="preserve">z volené funkce </w:t>
      </w:r>
      <w:r>
        <w:t>k datu 6.11.2013 pro neshody dílčího shromáždění vchodu. Od této doby se nepodařilo vlastníkům bytů ve vchodu se domluvit na svém zástupci, který by byl zvolen členem výboru a současně prováděl povinnosti zástupce vchodu. Jeho  práci vykonává od roku 2013, pan Ivo Studený</w:t>
      </w:r>
      <w:r w:rsidR="00CD20B5">
        <w:t>,</w:t>
      </w:r>
      <w:r>
        <w:t xml:space="preserve"> zástupce vchodu D 9. Vzhledem k této  situaci a problémech s provozními záležitostmi  vchodu, které provádí pan Studený</w:t>
      </w:r>
      <w:r w:rsidR="00CD20B5">
        <w:t xml:space="preserve"> i</w:t>
      </w:r>
      <w:r>
        <w:t xml:space="preserve"> jako </w:t>
      </w:r>
      <w:r w:rsidR="00CD20B5" w:rsidRPr="00CD20B5">
        <w:rPr>
          <w:b/>
        </w:rPr>
        <w:t>p</w:t>
      </w:r>
      <w:r w:rsidRPr="00CD20B5">
        <w:rPr>
          <w:b/>
          <w:bCs/>
        </w:rPr>
        <w:t>ředseda výboru společenství</w:t>
      </w:r>
      <w:r w:rsidR="00CD20B5">
        <w:rPr>
          <w:b/>
          <w:bCs/>
        </w:rPr>
        <w:t>,</w:t>
      </w:r>
      <w:r>
        <w:t xml:space="preserve"> byla shromáždění vlastníků společenství předložena varianta plateb za popsaný druh zástupu</w:t>
      </w:r>
      <w:r w:rsidRPr="00CD20B5">
        <w:t xml:space="preserve">. </w:t>
      </w:r>
      <w:r w:rsidRPr="00CD20B5">
        <w:rPr>
          <w:b/>
          <w:bCs/>
        </w:rPr>
        <w:t>Návrh byl předjednán na schůzi výboru a tato činnost byla nabídnuta k výkonu ostatním členům výboru. O správu vchodu</w:t>
      </w:r>
      <w:r w:rsidR="00CD20B5" w:rsidRPr="00CD20B5">
        <w:rPr>
          <w:b/>
          <w:bCs/>
        </w:rPr>
        <w:t xml:space="preserve"> i za odměnu se nikdo neucházel</w:t>
      </w:r>
      <w:r w:rsidR="00CD20B5">
        <w:rPr>
          <w:b/>
          <w:bCs/>
        </w:rPr>
        <w:t xml:space="preserve">. </w:t>
      </w:r>
    </w:p>
    <w:p w:rsidR="00CC7302" w:rsidRDefault="00CD20B5">
      <w:pPr>
        <w:pStyle w:val="Standard"/>
      </w:pPr>
      <w:r>
        <w:rPr>
          <w:b/>
          <w:bCs/>
        </w:rPr>
        <w:t xml:space="preserve">Předmětná záležitost byla </w:t>
      </w:r>
      <w:r w:rsidRPr="00CD20B5">
        <w:rPr>
          <w:b/>
          <w:bCs/>
        </w:rPr>
        <w:t>znovu předložena na dílčí schůzi vchodu D 17.</w:t>
      </w:r>
      <w:r w:rsidR="008E7BA4">
        <w:rPr>
          <w:b/>
          <w:bCs/>
        </w:rPr>
        <w:t xml:space="preserve"> </w:t>
      </w:r>
      <w:r w:rsidR="00FC2AEC">
        <w:t xml:space="preserve">Tuto činnost </w:t>
      </w:r>
      <w:r w:rsidR="00FC2AEC" w:rsidRPr="00CD20B5">
        <w:rPr>
          <w:b/>
        </w:rPr>
        <w:t>nemůže dělat  nezvolený zástupce vchodu</w:t>
      </w:r>
      <w:r w:rsidR="00FC2AEC">
        <w:t xml:space="preserve"> (vlastník bytu bez volby za člena výboru), protože tím </w:t>
      </w:r>
      <w:r w:rsidR="00FC2AEC" w:rsidRPr="00CD20B5">
        <w:rPr>
          <w:b/>
        </w:rPr>
        <w:t>není zajištěna jeho odpovědnost vůči hospodaření s finančními prostředky fondu oprav a zastupování zájmů vchodu na schůzi výboru</w:t>
      </w:r>
      <w:r w:rsidR="00FC2AEC">
        <w:t xml:space="preserve">.  Se zástupem také souvisí mimo jiné administrativní práce, které jsou návazné na Pravidla plateb a materiály výboru, vymáhání plateb formou dle platných právních předpisů, </w:t>
      </w:r>
      <w:r>
        <w:t xml:space="preserve">řada provozních náležitostí, </w:t>
      </w:r>
      <w:r w:rsidR="00FC2AEC">
        <w:t>atd..</w:t>
      </w:r>
      <w:r w:rsidR="00FC2AEC">
        <w:tab/>
      </w:r>
    </w:p>
    <w:p w:rsidR="008E7BA4" w:rsidRDefault="008E7BA4">
      <w:pPr>
        <w:pStyle w:val="Standard"/>
      </w:pPr>
    </w:p>
    <w:p w:rsidR="00CC7302" w:rsidRDefault="008E7BA4">
      <w:pPr>
        <w:pStyle w:val="Standard"/>
      </w:pPr>
      <w:r>
        <w:t>Z výše uvedených důvodů b</w:t>
      </w:r>
      <w:r>
        <w:t>yl  předložen  návrh na platbu za zástup dílčího vchodu  ve výši 3.000,- Kč/měsíc</w:t>
      </w:r>
      <w:r>
        <w:t xml:space="preserve"> od 1.11.2015.</w:t>
      </w:r>
    </w:p>
    <w:p w:rsidR="008E7BA4" w:rsidRDefault="008E7BA4">
      <w:pPr>
        <w:pStyle w:val="Standard"/>
        <w:rPr>
          <w:b/>
        </w:rPr>
      </w:pPr>
    </w:p>
    <w:p w:rsidR="00CD20B5" w:rsidRDefault="00CD20B5" w:rsidP="00CD20B5">
      <w:pPr>
        <w:pStyle w:val="Standard"/>
      </w:pPr>
      <w:r>
        <w:t xml:space="preserve">Hlasování: Bylo hlasováno o předloženém návrhu  </w:t>
      </w:r>
      <w:r>
        <w:t>odměny za zástup vchodu</w:t>
      </w:r>
      <w:r>
        <w:t>.</w:t>
      </w:r>
    </w:p>
    <w:p w:rsidR="00CC7302" w:rsidRDefault="00FC2AEC">
      <w:pPr>
        <w:pStyle w:val="Standard"/>
      </w:pPr>
      <w:r>
        <w:rPr>
          <w:b/>
        </w:rPr>
        <w:t xml:space="preserve">Výsledek: </w:t>
      </w:r>
      <w:r w:rsidR="00CD20B5">
        <w:rPr>
          <w:b/>
        </w:rPr>
        <w:t xml:space="preserve">Výše odměny </w:t>
      </w:r>
      <w:r w:rsidR="008E7BA4">
        <w:rPr>
          <w:b/>
        </w:rPr>
        <w:t>za zástup vchodu bez zvoleného zástupce ve výši 3.000Kč/měsíc od 1.11.2015 byla odsouhlasena.</w:t>
      </w:r>
    </w:p>
    <w:tbl>
      <w:tblPr>
        <w:tblW w:w="9209" w:type="dxa"/>
        <w:tblInd w:w="-108" w:type="dxa"/>
        <w:tblLayout w:type="fixed"/>
        <w:tblCellMar>
          <w:left w:w="10" w:type="dxa"/>
          <w:right w:w="10" w:type="dxa"/>
        </w:tblCellMar>
        <w:tblLook w:val="0000" w:firstRow="0" w:lastRow="0" w:firstColumn="0" w:lastColumn="0" w:noHBand="0" w:noVBand="0"/>
      </w:tblPr>
      <w:tblGrid>
        <w:gridCol w:w="2303"/>
        <w:gridCol w:w="2300"/>
        <w:gridCol w:w="2302"/>
        <w:gridCol w:w="2304"/>
      </w:tblGrid>
      <w:tr w:rsidR="00CC7302">
        <w:tc>
          <w:tcPr>
            <w:tcW w:w="2302" w:type="dxa"/>
            <w:tcBorders>
              <w:top w:val="double" w:sz="12"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CC7302">
            <w:pPr>
              <w:pStyle w:val="Standard"/>
            </w:pPr>
          </w:p>
        </w:tc>
        <w:tc>
          <w:tcPr>
            <w:tcW w:w="2300" w:type="dxa"/>
            <w:tcBorders>
              <w:top w:val="double" w:sz="12"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w:t>
            </w:r>
          </w:p>
        </w:tc>
        <w:tc>
          <w:tcPr>
            <w:tcW w:w="2302" w:type="dxa"/>
            <w:tcBorders>
              <w:top w:val="double" w:sz="12"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PROTI</w:t>
            </w:r>
          </w:p>
        </w:tc>
        <w:tc>
          <w:tcPr>
            <w:tcW w:w="2304" w:type="dxa"/>
            <w:tcBorders>
              <w:top w:val="double" w:sz="12"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ZDRŽEL</w:t>
            </w:r>
          </w:p>
        </w:tc>
      </w:tr>
      <w:tr w:rsidR="00CC7302">
        <w:tc>
          <w:tcPr>
            <w:tcW w:w="2302" w:type="dxa"/>
            <w:tcBorders>
              <w:top w:val="double" w:sz="12" w:space="0" w:color="00000A"/>
              <w:left w:val="double" w:sz="12"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váhy hlasů</w:t>
            </w:r>
          </w:p>
        </w:tc>
        <w:tc>
          <w:tcPr>
            <w:tcW w:w="2300" w:type="dxa"/>
            <w:tcBorders>
              <w:top w:val="double" w:sz="12" w:space="0" w:color="00000A"/>
              <w:left w:val="double" w:sz="12"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60,6825</w:t>
            </w:r>
          </w:p>
        </w:tc>
        <w:tc>
          <w:tcPr>
            <w:tcW w:w="2302" w:type="dxa"/>
            <w:tcBorders>
              <w:top w:val="double" w:sz="12"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0,8843</w:t>
            </w:r>
          </w:p>
        </w:tc>
        <w:tc>
          <w:tcPr>
            <w:tcW w:w="2304" w:type="dxa"/>
            <w:tcBorders>
              <w:top w:val="double" w:sz="12" w:space="0" w:color="00000A"/>
              <w:left w:val="single" w:sz="4" w:space="0" w:color="00000A"/>
              <w:bottom w:val="single" w:sz="4"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0,4937</w:t>
            </w:r>
          </w:p>
        </w:tc>
      </w:tr>
      <w:tr w:rsidR="00CC7302">
        <w:tc>
          <w:tcPr>
            <w:tcW w:w="2302" w:type="dxa"/>
            <w:tcBorders>
              <w:top w:val="single" w:sz="4" w:space="0" w:color="00000A"/>
              <w:left w:val="double" w:sz="12"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pPr>
            <w:r>
              <w:t>podle počtu hlasů</w:t>
            </w:r>
          </w:p>
        </w:tc>
        <w:tc>
          <w:tcPr>
            <w:tcW w:w="2300" w:type="dxa"/>
            <w:tcBorders>
              <w:top w:val="single" w:sz="4" w:space="0" w:color="00000A"/>
              <w:left w:val="double" w:sz="12"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82</w:t>
            </w:r>
          </w:p>
        </w:tc>
        <w:tc>
          <w:tcPr>
            <w:tcW w:w="2302" w:type="dxa"/>
            <w:tcBorders>
              <w:top w:val="single" w:sz="4"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CC7302" w:rsidRDefault="00FC2AEC">
            <w:pPr>
              <w:pStyle w:val="Standard"/>
              <w:jc w:val="right"/>
            </w:pPr>
            <w:r>
              <w:t>1</w:t>
            </w:r>
          </w:p>
        </w:tc>
        <w:tc>
          <w:tcPr>
            <w:tcW w:w="2304" w:type="dxa"/>
            <w:tcBorders>
              <w:top w:val="single" w:sz="4" w:space="0" w:color="00000A"/>
              <w:left w:val="single" w:sz="4" w:space="0" w:color="00000A"/>
              <w:bottom w:val="double" w:sz="12" w:space="0" w:color="00000A"/>
              <w:right w:val="double" w:sz="12" w:space="0" w:color="00000A"/>
            </w:tcBorders>
            <w:shd w:val="clear" w:color="auto" w:fill="FFFFFF"/>
            <w:tcMar>
              <w:top w:w="0" w:type="dxa"/>
              <w:left w:w="108" w:type="dxa"/>
              <w:bottom w:w="0" w:type="dxa"/>
              <w:right w:w="108" w:type="dxa"/>
            </w:tcMar>
          </w:tcPr>
          <w:p w:rsidR="00CC7302" w:rsidRDefault="00FC2AEC">
            <w:pPr>
              <w:pStyle w:val="Standard"/>
              <w:jc w:val="right"/>
            </w:pPr>
            <w:r>
              <w:t>1</w:t>
            </w:r>
          </w:p>
        </w:tc>
      </w:tr>
    </w:tbl>
    <w:p w:rsidR="00CC7302" w:rsidRDefault="00CC7302">
      <w:pPr>
        <w:pStyle w:val="Standard"/>
      </w:pPr>
    </w:p>
    <w:p w:rsidR="00CC7302" w:rsidRDefault="00CC7302">
      <w:pPr>
        <w:pStyle w:val="Standard"/>
        <w:rPr>
          <w:b/>
        </w:rPr>
      </w:pPr>
    </w:p>
    <w:p w:rsidR="00CC7302" w:rsidRDefault="00FC2AEC">
      <w:pPr>
        <w:pStyle w:val="Standard"/>
        <w:jc w:val="center"/>
      </w:pPr>
      <w:r>
        <w:rPr>
          <w:b/>
          <w:u w:val="single"/>
        </w:rPr>
        <w:t>6. Různé + diskuze</w:t>
      </w:r>
    </w:p>
    <w:p w:rsidR="00CC7302" w:rsidRDefault="00CC7302">
      <w:pPr>
        <w:pStyle w:val="Standard"/>
        <w:ind w:firstLine="708"/>
        <w:rPr>
          <w:u w:val="single"/>
        </w:rPr>
      </w:pPr>
    </w:p>
    <w:p w:rsidR="00CC7302" w:rsidRDefault="00FC2AEC">
      <w:pPr>
        <w:pStyle w:val="Standard"/>
      </w:pPr>
      <w:r>
        <w:rPr>
          <w:u w:val="single"/>
        </w:rPr>
        <w:t xml:space="preserve">Platební morálka vlastníků bytů – platby do fondu oprav </w:t>
      </w:r>
      <w:r>
        <w:t xml:space="preserve">– shromáždění bylo  znovu seznámeno s tím, že při 3-5 měsíčním prodlení s platbou bude předáno </w:t>
      </w:r>
      <w:r>
        <w:br/>
        <w:t>k vymáhání a k exekuci.</w:t>
      </w:r>
    </w:p>
    <w:p w:rsidR="00CC7302" w:rsidRDefault="00CC7302">
      <w:pPr>
        <w:pStyle w:val="Standard"/>
      </w:pPr>
    </w:p>
    <w:p w:rsidR="00CC7302" w:rsidRDefault="00FC2AEC">
      <w:pPr>
        <w:pStyle w:val="Standard"/>
      </w:pPr>
      <w:r w:rsidRPr="008B0EC8">
        <w:rPr>
          <w:u w:val="single"/>
        </w:rPr>
        <w:t xml:space="preserve">Dotaz </w:t>
      </w:r>
      <w:r>
        <w:t xml:space="preserve"> - p</w:t>
      </w:r>
      <w:r w:rsidR="008E7BA4">
        <w:t xml:space="preserve">roblémy se závadou na střeše. Odpověď - </w:t>
      </w:r>
      <w:r>
        <w:t>firma byla oslovena, v rámci reklamace se ale nedaří domluvit pevný termín opravy. Budeme firmu ještě jednou vyzývat prostřednictvím právního postupu – pak přistoupíme k provedení opravy cizí firmou a náklady budeme vymáhat v rámci neplnění oprav reklamačních závad provedené práce.</w:t>
      </w:r>
    </w:p>
    <w:p w:rsidR="00CC7302" w:rsidRDefault="00CC7302">
      <w:pPr>
        <w:pStyle w:val="Standard"/>
      </w:pPr>
    </w:p>
    <w:p w:rsidR="00CC7302" w:rsidRDefault="00FC2AEC">
      <w:pPr>
        <w:pStyle w:val="Standard"/>
      </w:pPr>
      <w:r w:rsidRPr="008B0EC8">
        <w:rPr>
          <w:u w:val="single"/>
        </w:rPr>
        <w:t xml:space="preserve">Dotaz </w:t>
      </w:r>
      <w:r>
        <w:t xml:space="preserve">– kdo určuje kolik lidí je v bytě a za co platí a jak se provádí kontrola počtu obyvatel v bytě? </w:t>
      </w:r>
      <w:r w:rsidR="008E7BA4">
        <w:t xml:space="preserve">Odpověď - </w:t>
      </w:r>
      <w:r>
        <w:t>podle platných Stanov je povinností majitele bytu v evidenčním listě u správce upřesňovat počet obyvatel bytu ve vazbě na zálohové platby za užívání společných prostor (výtah, osvětlení, apod.). Pokud tomu tak není, má vlastník jiného bytu jako člen Společenství možnost dát na výbor podnět a budeme se tímto problémem zabývat.</w:t>
      </w:r>
    </w:p>
    <w:p w:rsidR="00CC7302" w:rsidRDefault="00CC7302">
      <w:pPr>
        <w:pStyle w:val="Standard"/>
        <w:rPr>
          <w:color w:val="000000"/>
        </w:rPr>
      </w:pPr>
    </w:p>
    <w:p w:rsidR="00CC7302" w:rsidRDefault="00FC2AEC">
      <w:pPr>
        <w:pStyle w:val="Standard"/>
        <w:rPr>
          <w:color w:val="000000"/>
        </w:rPr>
      </w:pPr>
      <w:r w:rsidRPr="008B0EC8">
        <w:rPr>
          <w:color w:val="000000"/>
          <w:u w:val="single"/>
        </w:rPr>
        <w:t>Dotaz</w:t>
      </w:r>
      <w:r>
        <w:rPr>
          <w:color w:val="000000"/>
        </w:rPr>
        <w:t xml:space="preserve"> – táhne nám okny – nebylo by vhodné pozvat nějakou firmu? </w:t>
      </w:r>
      <w:r w:rsidR="008E7BA4">
        <w:rPr>
          <w:color w:val="000000"/>
        </w:rPr>
        <w:t xml:space="preserve">Odpověď - </w:t>
      </w:r>
      <w:r>
        <w:rPr>
          <w:color w:val="000000"/>
        </w:rPr>
        <w:t xml:space="preserve"> řešte přes zástupce vchodu a objednejte tyto práce u odborné firmy pro celý vchod jako provozní záležitosti.</w:t>
      </w:r>
    </w:p>
    <w:p w:rsidR="008B0EC8" w:rsidRDefault="008B0EC8">
      <w:pPr>
        <w:pStyle w:val="Standard"/>
        <w:rPr>
          <w:color w:val="000000"/>
        </w:rPr>
      </w:pPr>
    </w:p>
    <w:p w:rsidR="008B0EC8" w:rsidRDefault="008B0EC8">
      <w:pPr>
        <w:pStyle w:val="Standard"/>
      </w:pPr>
      <w:r w:rsidRPr="008B0EC8">
        <w:rPr>
          <w:color w:val="000000"/>
          <w:u w:val="single"/>
        </w:rPr>
        <w:t>Dotaz</w:t>
      </w:r>
      <w:r>
        <w:rPr>
          <w:color w:val="000000"/>
        </w:rPr>
        <w:t xml:space="preserve"> – máme načuráno ve výtahu a někteří z obyvatel se chovají nepřiměřeně, kdo to vyřeší? Odpověď – musíte řešit jednotlivě mezi sebou a udělat si v domě pořádek mezi sousedy třeba i formou občanských sporů či přes přestupkovou komisi města. Tuto činnost nebude výbor ani Váš zástupce vchodu řešit.</w:t>
      </w:r>
    </w:p>
    <w:p w:rsidR="00CC7302" w:rsidRDefault="00CC7302">
      <w:pPr>
        <w:pStyle w:val="Standard"/>
        <w:rPr>
          <w:color w:val="000000"/>
        </w:rPr>
      </w:pPr>
    </w:p>
    <w:p w:rsidR="00CC7302" w:rsidRDefault="00FC2AEC">
      <w:pPr>
        <w:pStyle w:val="Standard"/>
      </w:pPr>
      <w:r>
        <w:t xml:space="preserve">Na závěr poděkoval předseda výboru všem přítomným za účast </w:t>
      </w:r>
      <w:r>
        <w:br/>
        <w:t>na shromáždění a s přítomnými se rozloučil.</w:t>
      </w:r>
    </w:p>
    <w:p w:rsidR="00CC7302" w:rsidRDefault="00CC7302">
      <w:pPr>
        <w:pStyle w:val="Standard"/>
      </w:pPr>
    </w:p>
    <w:p w:rsidR="00CC7302" w:rsidRDefault="00FC2AEC">
      <w:pPr>
        <w:pStyle w:val="Standard"/>
      </w:pPr>
      <w:r>
        <w:t>Schůze byla zahájena cca v 17:05 a ukončena v cca 17:40 hodin (tj. 1,5 hodiny pronájmu sálu – 16:30-17:00).</w:t>
      </w:r>
    </w:p>
    <w:p w:rsidR="00CC7302" w:rsidRDefault="00CC7302">
      <w:pPr>
        <w:pStyle w:val="Standard"/>
      </w:pPr>
    </w:p>
    <w:p w:rsidR="00CC7302" w:rsidRDefault="00CC7302">
      <w:pPr>
        <w:pStyle w:val="Standard"/>
      </w:pPr>
    </w:p>
    <w:p w:rsidR="00CC7302" w:rsidRDefault="00CC7302">
      <w:pPr>
        <w:pStyle w:val="Standard"/>
      </w:pPr>
    </w:p>
    <w:p w:rsidR="00CC7302" w:rsidRDefault="00FC2AEC">
      <w:pPr>
        <w:pStyle w:val="Standard"/>
      </w:pPr>
      <w:r>
        <w:t>V Olomouci  23.10.2015</w:t>
      </w:r>
    </w:p>
    <w:p w:rsidR="00CC7302" w:rsidRDefault="00CC7302">
      <w:pPr>
        <w:pStyle w:val="Standard"/>
      </w:pPr>
    </w:p>
    <w:p w:rsidR="00CC7302" w:rsidRDefault="00FC2AEC">
      <w:pPr>
        <w:pStyle w:val="Standard"/>
      </w:pPr>
      <w:r>
        <w:t>Schválil:</w:t>
      </w:r>
      <w:r>
        <w:tab/>
        <w:t>Ivo Studený</w:t>
      </w:r>
      <w:r>
        <w:tab/>
      </w:r>
      <w:r>
        <w:tab/>
      </w:r>
      <w:r>
        <w:tab/>
      </w:r>
      <w:r>
        <w:tab/>
        <w:t>………………………………….</w:t>
      </w:r>
    </w:p>
    <w:p w:rsidR="00CC7302" w:rsidRDefault="00CC7302">
      <w:pPr>
        <w:pStyle w:val="Standard"/>
      </w:pPr>
    </w:p>
    <w:p w:rsidR="00CC7302" w:rsidRDefault="00FC2AEC">
      <w:pPr>
        <w:pStyle w:val="Standard"/>
      </w:pPr>
      <w:r>
        <w:t>Zapsala:</w:t>
      </w:r>
      <w:r>
        <w:tab/>
        <w:t>Ing. Zdeňka Labounková              ………………………………….</w:t>
      </w:r>
    </w:p>
    <w:p w:rsidR="00CC7302" w:rsidRDefault="00CC7302">
      <w:pPr>
        <w:pStyle w:val="Standard"/>
      </w:pPr>
    </w:p>
    <w:p w:rsidR="00CC7302" w:rsidRDefault="00FC2AEC">
      <w:pPr>
        <w:pStyle w:val="Standard"/>
      </w:pPr>
      <w:r>
        <w:t>Ověřil:</w:t>
      </w:r>
      <w:r>
        <w:tab/>
      </w:r>
      <w:r>
        <w:tab/>
        <w:t>Ing. Věra Štembírková</w:t>
      </w:r>
      <w:r>
        <w:tab/>
        <w:t xml:space="preserve">           …………………………………</w:t>
      </w:r>
    </w:p>
    <w:p w:rsidR="00CC7302" w:rsidRDefault="00CC7302">
      <w:pPr>
        <w:pStyle w:val="Standard"/>
      </w:pPr>
    </w:p>
    <w:p w:rsidR="00CC7302" w:rsidRDefault="00CC7302">
      <w:pPr>
        <w:pStyle w:val="Standard"/>
      </w:pPr>
    </w:p>
    <w:p w:rsidR="00CC7302" w:rsidRDefault="00FC2AEC">
      <w:pPr>
        <w:pStyle w:val="Standard"/>
      </w:pPr>
      <w:r>
        <w:rPr>
          <w:sz w:val="16"/>
          <w:szCs w:val="16"/>
        </w:rPr>
        <w:t>Přílohy originálu zápisu:</w:t>
      </w:r>
    </w:p>
    <w:p w:rsidR="00CC7302" w:rsidRDefault="00FC2AEC">
      <w:pPr>
        <w:pStyle w:val="Standard"/>
      </w:pPr>
      <w:r>
        <w:rPr>
          <w:sz w:val="16"/>
          <w:szCs w:val="16"/>
        </w:rPr>
        <w:t>- souhrnný přehled hlasování + výpočty</w:t>
      </w:r>
    </w:p>
    <w:p w:rsidR="00CC7302" w:rsidRDefault="00FC2AEC">
      <w:pPr>
        <w:pStyle w:val="Standard"/>
      </w:pPr>
      <w:r>
        <w:rPr>
          <w:sz w:val="16"/>
          <w:szCs w:val="16"/>
        </w:rPr>
        <w:t>- prezenční listiny + plné moci</w:t>
      </w:r>
    </w:p>
    <w:p w:rsidR="00CC7302" w:rsidRDefault="00FC2AEC">
      <w:pPr>
        <w:pStyle w:val="Standard"/>
      </w:pPr>
      <w:r>
        <w:rPr>
          <w:sz w:val="16"/>
          <w:szCs w:val="16"/>
        </w:rPr>
        <w:t>- záznamy o hlasování jednotlivých vchodů</w:t>
      </w:r>
    </w:p>
    <w:p w:rsidR="00CC7302" w:rsidRDefault="00FC2AEC">
      <w:pPr>
        <w:pStyle w:val="Standard"/>
      </w:pPr>
      <w:r>
        <w:rPr>
          <w:sz w:val="16"/>
          <w:szCs w:val="16"/>
        </w:rPr>
        <w:t>- materiály na schůzi ( zasláno vlastníkům jako součást pozvánky 14 dní před termínem schůze a materiály byly vyvěšeny na nástěnkách vchodů)</w:t>
      </w:r>
      <w:r w:rsidR="008E7BA4">
        <w:rPr>
          <w:sz w:val="16"/>
          <w:szCs w:val="16"/>
        </w:rPr>
        <w:t xml:space="preserve"> + kandidátní listina, která byla předložena „na stůl“.</w:t>
      </w:r>
    </w:p>
    <w:p w:rsidR="00CC7302" w:rsidRDefault="00CC7302">
      <w:pPr>
        <w:pStyle w:val="Standard"/>
      </w:pPr>
    </w:p>
    <w:sectPr w:rsidR="00CC7302">
      <w:headerReference w:type="default" r:id="rId9"/>
      <w:footerReference w:type="default" r:id="rId10"/>
      <w:pgSz w:w="11906" w:h="16838"/>
      <w:pgMar w:top="1418" w:right="1418" w:bottom="766"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59D" w:rsidRDefault="0026059D">
      <w:r>
        <w:separator/>
      </w:r>
    </w:p>
  </w:endnote>
  <w:endnote w:type="continuationSeparator" w:id="0">
    <w:p w:rsidR="0026059D" w:rsidRDefault="0026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73" w:rsidRDefault="00FC2AEC">
    <w:pPr>
      <w:pStyle w:val="Zpat"/>
    </w:pPr>
    <w:r>
      <w:rPr>
        <w:rStyle w:val="slostrnky"/>
        <w:sz w:val="20"/>
      </w:rPr>
      <w:t>22.10.2015 – zápis ze X. shromáždění společenství vlastníků</w:t>
    </w:r>
    <w:r>
      <w:rPr>
        <w:rStyle w:val="slostrnky"/>
      </w:rPr>
      <w:tab/>
    </w:r>
    <w:r>
      <w:rPr>
        <w:rStyle w:val="slostrnky"/>
      </w:rPr>
      <w:tab/>
    </w:r>
    <w:r>
      <w:fldChar w:fldCharType="begin"/>
    </w:r>
    <w:r>
      <w:instrText xml:space="preserve"> PAGE </w:instrText>
    </w:r>
    <w:r>
      <w:fldChar w:fldCharType="separate"/>
    </w:r>
    <w:r w:rsidR="000E650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59D" w:rsidRDefault="0026059D">
      <w:r>
        <w:rPr>
          <w:color w:val="000000"/>
        </w:rPr>
        <w:separator/>
      </w:r>
    </w:p>
  </w:footnote>
  <w:footnote w:type="continuationSeparator" w:id="0">
    <w:p w:rsidR="0026059D" w:rsidRDefault="0026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73" w:rsidRDefault="00FC2AEC">
    <w:pPr>
      <w:pStyle w:val="Zhlav"/>
      <w:jc w:val="center"/>
    </w:pPr>
    <w:r>
      <w:rPr>
        <w:sz w:val="20"/>
        <w:szCs w:val="20"/>
      </w:rPr>
      <w:t>Společenství vlastníků bytových jednotek, Olomouc, část Nové Sady</w:t>
    </w:r>
  </w:p>
  <w:p w:rsidR="00A74E73" w:rsidRDefault="00FC2AEC">
    <w:pPr>
      <w:pStyle w:val="Zhlav"/>
      <w:pBdr>
        <w:bottom w:val="single" w:sz="6" w:space="1" w:color="00000A"/>
      </w:pBdr>
      <w:jc w:val="center"/>
    </w:pPr>
    <w:r>
      <w:rPr>
        <w:sz w:val="20"/>
        <w:szCs w:val="20"/>
      </w:rPr>
      <w:t>ulice Družební 9/714, 11/715, 13/716, 15/717, 17/718, 19/719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C5F"/>
    <w:multiLevelType w:val="multilevel"/>
    <w:tmpl w:val="B70E1D26"/>
    <w:styleLink w:val="WWNum3"/>
    <w:lvl w:ilvl="0">
      <w:numFmt w:val="bullet"/>
      <w:lvlText w:val="-"/>
      <w:lvlJc w:val="left"/>
      <w:rPr>
        <w:rFonts w:eastAsia="Times New Roman"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1AE628CD"/>
    <w:multiLevelType w:val="multilevel"/>
    <w:tmpl w:val="FD80D06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21C36679"/>
    <w:multiLevelType w:val="multilevel"/>
    <w:tmpl w:val="D992666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56A0094D"/>
    <w:multiLevelType w:val="multilevel"/>
    <w:tmpl w:val="0AE41530"/>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5AC513CB"/>
    <w:multiLevelType w:val="multilevel"/>
    <w:tmpl w:val="0AF840BC"/>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738A525C"/>
    <w:multiLevelType w:val="multilevel"/>
    <w:tmpl w:val="BF92DE78"/>
    <w:styleLink w:val="WWNum2"/>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C7302"/>
    <w:rsid w:val="000E6504"/>
    <w:rsid w:val="0026059D"/>
    <w:rsid w:val="007D6222"/>
    <w:rsid w:val="008B0EC8"/>
    <w:rsid w:val="008E7BA4"/>
    <w:rsid w:val="009B5045"/>
    <w:rsid w:val="00A342D6"/>
    <w:rsid w:val="00CC7302"/>
    <w:rsid w:val="00CD20B5"/>
    <w:rsid w:val="00FB6885"/>
    <w:rsid w:val="00FC2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jc w:val="both"/>
    </w:pPr>
    <w:rPr>
      <w:rFonts w:ascii="Arial" w:hAnsi="Arial"/>
      <w:sz w:val="24"/>
      <w:szCs w:val="24"/>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ormln2">
    <w:name w:val="normální 2"/>
    <w:basedOn w:val="Standard"/>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styleId="Odstavecseseznamem">
    <w:name w:val="List Paragraph"/>
    <w:basedOn w:val="Standard"/>
    <w:pPr>
      <w:ind w:left="708"/>
    </w:pPr>
  </w:style>
  <w:style w:type="paragraph" w:styleId="Textbubliny">
    <w:name w:val="Balloon Text"/>
    <w:basedOn w:val="Standard"/>
    <w:rPr>
      <w:rFonts w:ascii="Tahoma" w:hAnsi="Tahoma" w:cs="Tahoma"/>
      <w:sz w:val="16"/>
      <w:szCs w:val="16"/>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TextbublinyChar">
    <w:name w:val="Text bubliny Char"/>
    <w:rPr>
      <w:rFonts w:ascii="Tahoma" w:hAnsi="Tahoma" w:cs="Tahoma"/>
      <w:sz w:val="16"/>
      <w:szCs w:val="16"/>
    </w:rPr>
  </w:style>
  <w:style w:type="character" w:customStyle="1" w:styleId="ListLabel1">
    <w:name w:val="ListLabel 1"/>
    <w:rPr>
      <w:b/>
      <w:color w:val="00000A"/>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Times New Roman" w:cs="Aria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jc w:val="both"/>
    </w:pPr>
    <w:rPr>
      <w:rFonts w:ascii="Arial" w:hAnsi="Arial"/>
      <w:sz w:val="24"/>
      <w:szCs w:val="24"/>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ormln2">
    <w:name w:val="normální 2"/>
    <w:basedOn w:val="Standard"/>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styleId="Odstavecseseznamem">
    <w:name w:val="List Paragraph"/>
    <w:basedOn w:val="Standard"/>
    <w:pPr>
      <w:ind w:left="708"/>
    </w:pPr>
  </w:style>
  <w:style w:type="paragraph" w:styleId="Textbubliny">
    <w:name w:val="Balloon Text"/>
    <w:basedOn w:val="Standard"/>
    <w:rPr>
      <w:rFonts w:ascii="Tahoma" w:hAnsi="Tahoma" w:cs="Tahoma"/>
      <w:sz w:val="16"/>
      <w:szCs w:val="16"/>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TextbublinyChar">
    <w:name w:val="Text bubliny Char"/>
    <w:rPr>
      <w:rFonts w:ascii="Tahoma" w:hAnsi="Tahoma" w:cs="Tahoma"/>
      <w:sz w:val="16"/>
      <w:szCs w:val="16"/>
    </w:rPr>
  </w:style>
  <w:style w:type="character" w:customStyle="1" w:styleId="ListLabel1">
    <w:name w:val="ListLabel 1"/>
    <w:rPr>
      <w:b/>
      <w:color w:val="00000A"/>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Times New Roman" w:cs="Aria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ruzebni.webnod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1694</Words>
  <Characters>10000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Zápis č</vt:lpstr>
    </vt:vector>
  </TitlesOfParts>
  <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č</dc:title>
  <dc:creator>stembirkova</dc:creator>
  <cp:lastModifiedBy>Štembírková Věra</cp:lastModifiedBy>
  <cp:revision>2</cp:revision>
  <cp:lastPrinted>2015-10-30T12:26:00Z</cp:lastPrinted>
  <dcterms:created xsi:type="dcterms:W3CDTF">2015-10-29T13:26:00Z</dcterms:created>
  <dcterms:modified xsi:type="dcterms:W3CDTF">2015-10-30T11:30:00Z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KÚOK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